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11F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sectPr>
          <w:footerReference r:id="rId3" w:type="default"/>
          <w:pgSz w:w="11906" w:h="16838"/>
          <w:pgMar w:top="1440" w:right="1800" w:bottom="1440" w:left="16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eastAsiaTheme="minorEastAsia"/>
          <w:lang w:eastAsia="zh-CN"/>
        </w:rPr>
        <w:drawing>
          <wp:anchor distT="0" distB="0" distL="114300" distR="114300" simplePos="0" relativeHeight="251663360" behindDoc="1" locked="0" layoutInCell="1" allowOverlap="1">
            <wp:simplePos x="0" y="0"/>
            <wp:positionH relativeFrom="column">
              <wp:posOffset>-1000760</wp:posOffset>
            </wp:positionH>
            <wp:positionV relativeFrom="paragraph">
              <wp:posOffset>-904875</wp:posOffset>
            </wp:positionV>
            <wp:extent cx="7599045" cy="10857865"/>
            <wp:effectExtent l="0" t="0" r="5715" b="8255"/>
            <wp:wrapNone/>
            <wp:docPr id="88" name="图片 88" descr="企业宣传蓝色简约商务DM单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企业宣传蓝色简约商务DM单 (1)"/>
                    <pic:cNvPicPr>
                      <a:picLocks noChangeAspect="1"/>
                    </pic:cNvPicPr>
                  </pic:nvPicPr>
                  <pic:blipFill>
                    <a:blip r:embed="rId7"/>
                    <a:stretch>
                      <a:fillRect/>
                    </a:stretch>
                  </pic:blipFill>
                  <pic:spPr>
                    <a:xfrm>
                      <a:off x="0" y="0"/>
                      <a:ext cx="7599045" cy="10857865"/>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5408" behindDoc="0" locked="0" layoutInCell="1" allowOverlap="1">
                <wp:simplePos x="0" y="0"/>
                <wp:positionH relativeFrom="column">
                  <wp:posOffset>1310005</wp:posOffset>
                </wp:positionH>
                <wp:positionV relativeFrom="paragraph">
                  <wp:posOffset>3877310</wp:posOffset>
                </wp:positionV>
                <wp:extent cx="3004820" cy="3810"/>
                <wp:effectExtent l="0" t="13970" r="12700" b="27940"/>
                <wp:wrapNone/>
                <wp:docPr id="89" name="直接连接符 89"/>
                <wp:cNvGraphicFramePr/>
                <a:graphic xmlns:a="http://schemas.openxmlformats.org/drawingml/2006/main">
                  <a:graphicData uri="http://schemas.microsoft.com/office/word/2010/wordprocessingShape">
                    <wps:wsp>
                      <wps:cNvCnPr/>
                      <wps:spPr>
                        <a:xfrm>
                          <a:off x="0" y="0"/>
                          <a:ext cx="3004820" cy="3810"/>
                        </a:xfrm>
                        <a:prstGeom prst="line">
                          <a:avLst/>
                        </a:prstGeom>
                        <a:ln w="28575">
                          <a:solidFill>
                            <a:srgbClr val="71B4E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3.15pt;margin-top:305.3pt;height:0.3pt;width:236.6pt;z-index:251665408;mso-width-relative:page;mso-height-relative:page;" filled="f" stroked="t" coordsize="21600,21600" o:gfxdata="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VR+S+2gAAAAsBAAAPAAAAAAAAAAEAIAAAACIAAABkcnMvZG93bnJldi54bWxQSwECFAAU&#10;AAAACACHTuJA1r3PCO8BAAC3AwAADgAAAAAAAAABACAAAAApAQAAZHJzL2Uyb0RvYy54bWxQSwUG&#10;AAAAAAYABgBZAQAAigUAAAAA&#10;">
                <v:fill on="f" focussize="0,0"/>
                <v:stroke weight="2.25pt" color="#71B4E7 [3204]" miterlimit="8" joinstyle="miter"/>
                <v:imagedata o:title=""/>
                <o:lock v:ext="edit" aspectratio="f"/>
              </v:line>
            </w:pict>
          </mc:Fallback>
        </mc:AlternateContent>
      </w:r>
      <w:r>
        <w:rPr>
          <w:rFonts w:hint="default" w:ascii="Times New Roman" w:hAnsi="Times New Roman" w:cs="Times New Roman"/>
          <w:sz w:val="21"/>
        </w:rPr>
        <mc:AlternateContent>
          <mc:Choice Requires="wps">
            <w:drawing>
              <wp:anchor distT="0" distB="0" distL="114300" distR="114300" simplePos="0" relativeHeight="251666432" behindDoc="0" locked="0" layoutInCell="1" allowOverlap="1">
                <wp:simplePos x="0" y="0"/>
                <wp:positionH relativeFrom="column">
                  <wp:posOffset>-165735</wp:posOffset>
                </wp:positionH>
                <wp:positionV relativeFrom="paragraph">
                  <wp:posOffset>3985895</wp:posOffset>
                </wp:positionV>
                <wp:extent cx="5682615" cy="1026160"/>
                <wp:effectExtent l="0" t="0" r="0" b="0"/>
                <wp:wrapNone/>
                <wp:docPr id="90" name="文本框 87"/>
                <wp:cNvGraphicFramePr/>
                <a:graphic xmlns:a="http://schemas.openxmlformats.org/drawingml/2006/main">
                  <a:graphicData uri="http://schemas.microsoft.com/office/word/2010/wordprocessingShape">
                    <wps:wsp>
                      <wps:cNvSpPr txBox="1"/>
                      <wps:spPr>
                        <a:xfrm>
                          <a:off x="0" y="0"/>
                          <a:ext cx="5682615" cy="1026160"/>
                        </a:xfrm>
                        <a:prstGeom prst="rect">
                          <a:avLst/>
                        </a:prstGeom>
                        <a:noFill/>
                        <a:ln w="6350">
                          <a:noFill/>
                        </a:ln>
                        <a:effectLst/>
                      </wps:spPr>
                      <wps:txbx>
                        <w:txbxContent>
                          <w:p w14:paraId="6C64DCFF">
                            <w:pPr>
                              <w:jc w:val="center"/>
                              <w:rPr>
                                <w:rFonts w:hint="default" w:ascii="微软雅黑" w:hAnsi="微软雅黑" w:eastAsia="微软雅黑" w:cs="微软雅黑"/>
                                <w:b/>
                                <w:bCs/>
                                <w:i w:val="0"/>
                                <w:caps w:val="0"/>
                                <w:color w:val="227CC8"/>
                                <w:spacing w:val="0"/>
                                <w:sz w:val="52"/>
                                <w:szCs w:val="52"/>
                                <w:shd w:val="clear" w:fill="FFFFFF"/>
                                <w:lang w:val="en-US" w:eastAsia="zh-CN"/>
                              </w:rPr>
                            </w:pPr>
                            <w:r>
                              <w:rPr>
                                <w:rFonts w:hint="eastAsia" w:ascii="微软雅黑" w:hAnsi="微软雅黑" w:eastAsia="微软雅黑" w:cs="微软雅黑"/>
                                <w:b/>
                                <w:bCs/>
                                <w:i w:val="0"/>
                                <w:caps w:val="0"/>
                                <w:color w:val="227CC8"/>
                                <w:spacing w:val="0"/>
                                <w:sz w:val="52"/>
                                <w:szCs w:val="52"/>
                                <w:shd w:val="clear" w:fill="FFFFFF"/>
                                <w:lang w:val="en-US" w:eastAsia="zh-CN"/>
                              </w:rPr>
                              <w:t>实施方案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7" o:spid="_x0000_s1026" o:spt="202" type="#_x0000_t202" style="position:absolute;left:0pt;margin-left:-13.05pt;margin-top:313.85pt;height:80.8pt;width:447.45pt;z-index:251666432;mso-width-relative:page;mso-height-relative:page;" filled="f" stroked="f" coordsize="21600,21600" o:gfxdata="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3vLZL3AAAAAsBAAAPAAAAAAAAAAEA&#10;IAAAACIAAABkcnMvZG93bnJldi54bWxQSwECFAAUAAAACACHTuJAd+vqzUQCAAB3BAAADgAAAAAA&#10;AAABACAAAAArAQAAZHJzL2Uyb0RvYy54bWxQSwUGAAAAAAYABgBZAQAA4QUAAAAA&#10;">
                <v:fill on="f" focussize="0,0"/>
                <v:stroke on="f" weight="0.5pt"/>
                <v:imagedata o:title=""/>
                <o:lock v:ext="edit" aspectratio="f"/>
                <v:textbox>
                  <w:txbxContent>
                    <w:p w14:paraId="6C64DCFF">
                      <w:pPr>
                        <w:jc w:val="center"/>
                        <w:rPr>
                          <w:rFonts w:hint="default" w:ascii="微软雅黑" w:hAnsi="微软雅黑" w:eastAsia="微软雅黑" w:cs="微软雅黑"/>
                          <w:b/>
                          <w:bCs/>
                          <w:i w:val="0"/>
                          <w:caps w:val="0"/>
                          <w:color w:val="227CC8"/>
                          <w:spacing w:val="0"/>
                          <w:sz w:val="52"/>
                          <w:szCs w:val="52"/>
                          <w:shd w:val="clear" w:fill="FFFFFF"/>
                          <w:lang w:val="en-US" w:eastAsia="zh-CN"/>
                        </w:rPr>
                      </w:pPr>
                      <w:r>
                        <w:rPr>
                          <w:rFonts w:hint="eastAsia" w:ascii="微软雅黑" w:hAnsi="微软雅黑" w:eastAsia="微软雅黑" w:cs="微软雅黑"/>
                          <w:b/>
                          <w:bCs/>
                          <w:i w:val="0"/>
                          <w:caps w:val="0"/>
                          <w:color w:val="227CC8"/>
                          <w:spacing w:val="0"/>
                          <w:sz w:val="52"/>
                          <w:szCs w:val="52"/>
                          <w:shd w:val="clear" w:fill="FFFFFF"/>
                          <w:lang w:val="en-US" w:eastAsia="zh-CN"/>
                        </w:rPr>
                        <w:t>实施方案</w:t>
                      </w:r>
                    </w:p>
                  </w:txbxContent>
                </v:textbox>
              </v:shap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-795655</wp:posOffset>
                </wp:positionH>
                <wp:positionV relativeFrom="paragraph">
                  <wp:posOffset>6957695</wp:posOffset>
                </wp:positionV>
                <wp:extent cx="7536180" cy="1071245"/>
                <wp:effectExtent l="0" t="0" r="0" b="0"/>
                <wp:wrapNone/>
                <wp:docPr id="11" name="文本框 8"/>
                <wp:cNvGraphicFramePr/>
                <a:graphic xmlns:a="http://schemas.openxmlformats.org/drawingml/2006/main">
                  <a:graphicData uri="http://schemas.microsoft.com/office/word/2010/wordprocessingShape">
                    <wps:wsp>
                      <wps:cNvSpPr txBox="1"/>
                      <wps:spPr>
                        <a:xfrm>
                          <a:off x="418465" y="185420"/>
                          <a:ext cx="7536180" cy="1071245"/>
                        </a:xfrm>
                        <a:prstGeom prst="rect">
                          <a:avLst/>
                        </a:prstGeom>
                        <a:noFill/>
                        <a:ln w="6350">
                          <a:noFill/>
                        </a:ln>
                      </wps:spPr>
                      <wps:txbx>
                        <w:txbxContent>
                          <w:p w14:paraId="608E2E5A">
                            <w:pPr>
                              <w:keepNext w:val="0"/>
                              <w:keepLines w:val="0"/>
                              <w:pageBreakBefore w:val="0"/>
                              <w:widowControl w:val="0"/>
                              <w:kinsoku/>
                              <w:wordWrap/>
                              <w:overflowPunct/>
                              <w:topLinePunct w:val="0"/>
                              <w:bidi w:val="0"/>
                              <w:adjustRightInd/>
                              <w:snapToGrid/>
                              <w:spacing w:line="700" w:lineRule="exact"/>
                              <w:jc w:val="center"/>
                              <w:textAlignment w:val="auto"/>
                              <w:rPr>
                                <w:rFonts w:hint="eastAsia" w:ascii="微软雅黑" w:hAnsi="微软雅黑" w:eastAsia="微软雅黑" w:cs="微软雅黑"/>
                                <w:b/>
                                <w:bCs/>
                                <w:color w:val="000000" w:themeColor="text1"/>
                                <w:sz w:val="44"/>
                                <w:szCs w:val="52"/>
                                <w:lang w:val="en-US" w:eastAsia="zh-CN"/>
                                <w14:textFill>
                                  <w14:solidFill>
                                    <w14:schemeClr w14:val="tx1"/>
                                  </w14:solidFill>
                                </w14:textFill>
                              </w:rPr>
                            </w:pPr>
                            <w:r>
                              <w:rPr>
                                <w:rFonts w:hint="eastAsia" w:ascii="微软雅黑" w:hAnsi="微软雅黑" w:eastAsia="微软雅黑" w:cs="微软雅黑"/>
                                <w:b/>
                                <w:bCs/>
                                <w:color w:val="000000" w:themeColor="text1"/>
                                <w:sz w:val="44"/>
                                <w:szCs w:val="52"/>
                                <w:lang w:val="en-US" w:eastAsia="zh-CN"/>
                                <w14:textFill>
                                  <w14:solidFill>
                                    <w14:schemeClr w14:val="tx1"/>
                                  </w14:solidFill>
                                </w14:textFill>
                              </w:rPr>
                              <w:t>中国教育干部网络学院</w:t>
                            </w:r>
                          </w:p>
                          <w:p w14:paraId="61C73B02">
                            <w:pPr>
                              <w:keepNext w:val="0"/>
                              <w:keepLines w:val="0"/>
                              <w:pageBreakBefore w:val="0"/>
                              <w:widowControl w:val="0"/>
                              <w:kinsoku/>
                              <w:wordWrap/>
                              <w:overflowPunct/>
                              <w:topLinePunct w:val="0"/>
                              <w:bidi w:val="0"/>
                              <w:adjustRightInd/>
                              <w:snapToGrid/>
                              <w:spacing w:line="700" w:lineRule="exact"/>
                              <w:jc w:val="center"/>
                              <w:textAlignment w:val="auto"/>
                              <w:rPr>
                                <w:rFonts w:hint="eastAsia" w:ascii="Times New Roman" w:hAnsi="Times New Roman" w:eastAsia="方正大标宋简体" w:cs="方正大标宋简体"/>
                                <w:color w:val="000000" w:themeColor="text1"/>
                                <w:sz w:val="40"/>
                                <w:szCs w:val="48"/>
                                <w:lang w:val="en-US" w:eastAsia="zh-CN"/>
                                <w14:textFill>
                                  <w14:solidFill>
                                    <w14:schemeClr w14:val="tx1"/>
                                  </w14:solidFill>
                                </w14:textFill>
                              </w:rPr>
                            </w:pPr>
                            <w:r>
                              <w:rPr>
                                <w:rFonts w:hint="eastAsia" w:ascii="Times New Roman" w:hAnsi="Times New Roman" w:eastAsia="微软雅黑" w:cs="微软雅黑"/>
                                <w:b w:val="0"/>
                                <w:bCs w:val="0"/>
                                <w:color w:val="000000" w:themeColor="text1"/>
                                <w:sz w:val="40"/>
                                <w:szCs w:val="48"/>
                                <w:lang w:val="en-US" w:eastAsia="zh-CN"/>
                                <w14:textFill>
                                  <w14:solidFill>
                                    <w14:schemeClr w14:val="tx1"/>
                                  </w14:solidFill>
                                </w14:textFill>
                              </w:rPr>
                              <w:t>2026</w:t>
                            </w:r>
                            <w:r>
                              <w:rPr>
                                <w:rFonts w:hint="eastAsia" w:ascii="微软雅黑" w:hAnsi="微软雅黑" w:eastAsia="微软雅黑" w:cs="微软雅黑"/>
                                <w:b w:val="0"/>
                                <w:bCs w:val="0"/>
                                <w:color w:val="000000" w:themeColor="text1"/>
                                <w:sz w:val="40"/>
                                <w:szCs w:val="48"/>
                                <w:lang w:val="en-US" w:eastAsia="zh-CN"/>
                                <w14:textFill>
                                  <w14:solidFill>
                                    <w14:schemeClr w14:val="tx1"/>
                                  </w14:solidFill>
                                </w14:textFill>
                              </w:rPr>
                              <w:t>年</w:t>
                            </w:r>
                          </w:p>
                        </w:txbxContent>
                      </wps:txbx>
                      <wps:bodyPr upright="1"/>
                    </wps:wsp>
                  </a:graphicData>
                </a:graphic>
              </wp:anchor>
            </w:drawing>
          </mc:Choice>
          <mc:Fallback>
            <w:pict>
              <v:shape id="文本框 8" o:spid="_x0000_s1026" o:spt="202" type="#_x0000_t202" style="position:absolute;left:0pt;margin-left:-62.65pt;margin-top:547.85pt;height:84.35pt;width:593.4pt;z-index:251661312;mso-width-relative:page;mso-height-relative:page;" filled="f" stroked="f" coordsize="21600,21600" o:gfxdata="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iapVN4AAAAPAQAADwAAAAAAAAABACAAAAAiAAAAZHJzL2Rvd25y&#10;ZXYueG1sUEsBAhQAFAAAAAgAh07iQNb4kbW/AQAAYwMAAA4AAAAAAAAAAQAgAAAALQEAAGRycy9l&#10;Mm9Eb2MueG1sUEsFBgAAAAAGAAYAWQEAAF4FAAAAAA==&#10;">
                <v:fill on="f" focussize="0,0"/>
                <v:stroke on="f" weight="0.5pt"/>
                <v:imagedata o:title=""/>
                <o:lock v:ext="edit" aspectratio="f"/>
                <v:textbox>
                  <w:txbxContent>
                    <w:p w14:paraId="608E2E5A">
                      <w:pPr>
                        <w:keepNext w:val="0"/>
                        <w:keepLines w:val="0"/>
                        <w:pageBreakBefore w:val="0"/>
                        <w:widowControl w:val="0"/>
                        <w:kinsoku/>
                        <w:wordWrap/>
                        <w:overflowPunct/>
                        <w:topLinePunct w:val="0"/>
                        <w:bidi w:val="0"/>
                        <w:adjustRightInd/>
                        <w:snapToGrid/>
                        <w:spacing w:line="700" w:lineRule="exact"/>
                        <w:jc w:val="center"/>
                        <w:textAlignment w:val="auto"/>
                        <w:rPr>
                          <w:rFonts w:hint="eastAsia" w:ascii="微软雅黑" w:hAnsi="微软雅黑" w:eastAsia="微软雅黑" w:cs="微软雅黑"/>
                          <w:b/>
                          <w:bCs/>
                          <w:color w:val="000000" w:themeColor="text1"/>
                          <w:sz w:val="44"/>
                          <w:szCs w:val="52"/>
                          <w:lang w:val="en-US" w:eastAsia="zh-CN"/>
                          <w14:textFill>
                            <w14:solidFill>
                              <w14:schemeClr w14:val="tx1"/>
                            </w14:solidFill>
                          </w14:textFill>
                        </w:rPr>
                      </w:pPr>
                      <w:r>
                        <w:rPr>
                          <w:rFonts w:hint="eastAsia" w:ascii="微软雅黑" w:hAnsi="微软雅黑" w:eastAsia="微软雅黑" w:cs="微软雅黑"/>
                          <w:b/>
                          <w:bCs/>
                          <w:color w:val="000000" w:themeColor="text1"/>
                          <w:sz w:val="44"/>
                          <w:szCs w:val="52"/>
                          <w:lang w:val="en-US" w:eastAsia="zh-CN"/>
                          <w14:textFill>
                            <w14:solidFill>
                              <w14:schemeClr w14:val="tx1"/>
                            </w14:solidFill>
                          </w14:textFill>
                        </w:rPr>
                        <w:t>中国教育干部网络学院</w:t>
                      </w:r>
                    </w:p>
                    <w:p w14:paraId="61C73B02">
                      <w:pPr>
                        <w:keepNext w:val="0"/>
                        <w:keepLines w:val="0"/>
                        <w:pageBreakBefore w:val="0"/>
                        <w:widowControl w:val="0"/>
                        <w:kinsoku/>
                        <w:wordWrap/>
                        <w:overflowPunct/>
                        <w:topLinePunct w:val="0"/>
                        <w:bidi w:val="0"/>
                        <w:adjustRightInd/>
                        <w:snapToGrid/>
                        <w:spacing w:line="700" w:lineRule="exact"/>
                        <w:jc w:val="center"/>
                        <w:textAlignment w:val="auto"/>
                        <w:rPr>
                          <w:rFonts w:hint="eastAsia" w:ascii="Times New Roman" w:hAnsi="Times New Roman" w:eastAsia="方正大标宋简体" w:cs="方正大标宋简体"/>
                          <w:color w:val="000000" w:themeColor="text1"/>
                          <w:sz w:val="40"/>
                          <w:szCs w:val="48"/>
                          <w:lang w:val="en-US" w:eastAsia="zh-CN"/>
                          <w14:textFill>
                            <w14:solidFill>
                              <w14:schemeClr w14:val="tx1"/>
                            </w14:solidFill>
                          </w14:textFill>
                        </w:rPr>
                      </w:pPr>
                      <w:r>
                        <w:rPr>
                          <w:rFonts w:hint="eastAsia" w:ascii="Times New Roman" w:hAnsi="Times New Roman" w:eastAsia="微软雅黑" w:cs="微软雅黑"/>
                          <w:b w:val="0"/>
                          <w:bCs w:val="0"/>
                          <w:color w:val="000000" w:themeColor="text1"/>
                          <w:sz w:val="40"/>
                          <w:szCs w:val="48"/>
                          <w:lang w:val="en-US" w:eastAsia="zh-CN"/>
                          <w14:textFill>
                            <w14:solidFill>
                              <w14:schemeClr w14:val="tx1"/>
                            </w14:solidFill>
                          </w14:textFill>
                        </w:rPr>
                        <w:t>2026</w:t>
                      </w:r>
                      <w:r>
                        <w:rPr>
                          <w:rFonts w:hint="eastAsia" w:ascii="微软雅黑" w:hAnsi="微软雅黑" w:eastAsia="微软雅黑" w:cs="微软雅黑"/>
                          <w:b w:val="0"/>
                          <w:bCs w:val="0"/>
                          <w:color w:val="000000" w:themeColor="text1"/>
                          <w:sz w:val="40"/>
                          <w:szCs w:val="48"/>
                          <w:lang w:val="en-US" w:eastAsia="zh-CN"/>
                          <w14:textFill>
                            <w14:solidFill>
                              <w14:schemeClr w14:val="tx1"/>
                            </w14:solidFill>
                          </w14:textFill>
                        </w:rPr>
                        <w:t>年</w:t>
                      </w:r>
                    </w:p>
                  </w:txbxContent>
                </v:textbox>
              </v:shape>
            </w:pict>
          </mc:Fallback>
        </mc:AlternateContent>
      </w:r>
      <w:r>
        <w:rPr>
          <w:rFonts w:hint="eastAsia" w:eastAsiaTheme="minorEastAsia"/>
          <w:lang w:eastAsia="zh-CN"/>
        </w:rPr>
        <w:drawing>
          <wp:anchor distT="0" distB="0" distL="114300" distR="114300" simplePos="0" relativeHeight="251662336" behindDoc="0" locked="0" layoutInCell="1" allowOverlap="1">
            <wp:simplePos x="0" y="0"/>
            <wp:positionH relativeFrom="column">
              <wp:posOffset>3644900</wp:posOffset>
            </wp:positionH>
            <wp:positionV relativeFrom="page">
              <wp:posOffset>-28575</wp:posOffset>
            </wp:positionV>
            <wp:extent cx="2869565" cy="692150"/>
            <wp:effectExtent l="0" t="0" r="0" b="0"/>
            <wp:wrapNone/>
            <wp:docPr id="22" name="图片 22"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页眉"/>
                    <pic:cNvPicPr>
                      <a:picLocks noChangeAspect="1"/>
                    </pic:cNvPicPr>
                  </pic:nvPicPr>
                  <pic:blipFill>
                    <a:blip r:embed="rId8"/>
                    <a:srcRect l="60436" r="11294" b="14332"/>
                    <a:stretch>
                      <a:fillRect/>
                    </a:stretch>
                  </pic:blipFill>
                  <pic:spPr>
                    <a:xfrm>
                      <a:off x="0" y="0"/>
                      <a:ext cx="2869565" cy="69215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4384" behindDoc="0" locked="0" layoutInCell="1" allowOverlap="1">
                <wp:simplePos x="0" y="0"/>
                <wp:positionH relativeFrom="column">
                  <wp:posOffset>-710565</wp:posOffset>
                </wp:positionH>
                <wp:positionV relativeFrom="paragraph">
                  <wp:posOffset>2160270</wp:posOffset>
                </wp:positionV>
                <wp:extent cx="7150100" cy="1511300"/>
                <wp:effectExtent l="0" t="0" r="0" b="0"/>
                <wp:wrapNone/>
                <wp:docPr id="43" name="文本框 87"/>
                <wp:cNvGraphicFramePr/>
                <a:graphic xmlns:a="http://schemas.openxmlformats.org/drawingml/2006/main">
                  <a:graphicData uri="http://schemas.microsoft.com/office/word/2010/wordprocessingShape">
                    <wps:wsp>
                      <wps:cNvSpPr txBox="1"/>
                      <wps:spPr>
                        <a:xfrm>
                          <a:off x="0" y="0"/>
                          <a:ext cx="7150100" cy="1511300"/>
                        </a:xfrm>
                        <a:prstGeom prst="rect">
                          <a:avLst/>
                        </a:prstGeom>
                        <a:noFill/>
                        <a:ln w="6350">
                          <a:noFill/>
                        </a:ln>
                        <a:effectLst/>
                      </wps:spPr>
                      <wps:txbx>
                        <w:txbxContent>
                          <w:p w14:paraId="43794BE4">
                            <w:pPr>
                              <w:jc w:val="center"/>
                              <w:rPr>
                                <w:rFonts w:hint="eastAsia" w:ascii="微软雅黑" w:hAnsi="微软雅黑" w:eastAsia="微软雅黑" w:cs="微软雅黑"/>
                                <w:b/>
                                <w:bCs/>
                                <w:i w:val="0"/>
                                <w:caps w:val="0"/>
                                <w:color w:val="227CC8"/>
                                <w:spacing w:val="0"/>
                                <w:sz w:val="56"/>
                                <w:szCs w:val="56"/>
                                <w:shd w:val="clear" w:fill="FFFFFF"/>
                                <w:lang w:val="en-US" w:eastAsia="zh-CN"/>
                              </w:rPr>
                            </w:pPr>
                            <w:r>
                              <w:rPr>
                                <w:rFonts w:hint="eastAsia" w:ascii="微软雅黑" w:hAnsi="微软雅黑" w:eastAsia="微软雅黑" w:cs="微软雅黑"/>
                                <w:b/>
                                <w:bCs/>
                                <w:i w:val="0"/>
                                <w:caps w:val="0"/>
                                <w:color w:val="227CC8"/>
                                <w:spacing w:val="0"/>
                                <w:sz w:val="56"/>
                                <w:szCs w:val="56"/>
                                <w:shd w:val="clear" w:fill="FFFFFF"/>
                                <w:lang w:val="en-US" w:eastAsia="zh-CN"/>
                              </w:rPr>
                              <w:t>2026年专业技术人员继续教育暨数字素养提升专题网络培训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7" o:spid="_x0000_s1026" o:spt="202" type="#_x0000_t202" style="position:absolute;left:0pt;margin-left:-55.95pt;margin-top:170.1pt;height:119pt;width:563pt;z-index:251664384;mso-width-relative:page;mso-height-relative:page;" filled="f" stroked="f" coordsize="21600,21600" o:gfxdata="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j7D8I3QAAAA0BAAAPAAAAAAAAAAEA&#10;IAAAACIAAABkcnMvZG93bnJldi54bWxQSwECFAAUAAAACACHTuJA7bV/00MCAAB3BAAADgAAAAAA&#10;AAABACAAAAAsAQAAZHJzL2Uyb0RvYy54bWxQSwUGAAAAAAYABgBZAQAA4QUAAAAA&#10;">
                <v:fill on="f" focussize="0,0"/>
                <v:stroke on="f" weight="0.5pt"/>
                <v:imagedata o:title=""/>
                <o:lock v:ext="edit" aspectratio="f"/>
                <v:textbox>
                  <w:txbxContent>
                    <w:p w14:paraId="43794BE4">
                      <w:pPr>
                        <w:jc w:val="center"/>
                        <w:rPr>
                          <w:rFonts w:hint="eastAsia" w:ascii="微软雅黑" w:hAnsi="微软雅黑" w:eastAsia="微软雅黑" w:cs="微软雅黑"/>
                          <w:b/>
                          <w:bCs/>
                          <w:i w:val="0"/>
                          <w:caps w:val="0"/>
                          <w:color w:val="227CC8"/>
                          <w:spacing w:val="0"/>
                          <w:sz w:val="56"/>
                          <w:szCs w:val="56"/>
                          <w:shd w:val="clear" w:fill="FFFFFF"/>
                          <w:lang w:val="en-US" w:eastAsia="zh-CN"/>
                        </w:rPr>
                      </w:pPr>
                      <w:r>
                        <w:rPr>
                          <w:rFonts w:hint="eastAsia" w:ascii="微软雅黑" w:hAnsi="微软雅黑" w:eastAsia="微软雅黑" w:cs="微软雅黑"/>
                          <w:b/>
                          <w:bCs/>
                          <w:i w:val="0"/>
                          <w:caps w:val="0"/>
                          <w:color w:val="227CC8"/>
                          <w:spacing w:val="0"/>
                          <w:sz w:val="56"/>
                          <w:szCs w:val="56"/>
                          <w:shd w:val="clear" w:fill="FFFFFF"/>
                          <w:lang w:val="en-US" w:eastAsia="zh-CN"/>
                        </w:rPr>
                        <w:t>2026年专业技术人员继续教育暨数字素养提升专题网络培训</w:t>
                      </w:r>
                    </w:p>
                  </w:txbxContent>
                </v:textbox>
              </v:shape>
            </w:pict>
          </mc:Fallback>
        </mc:AlternateContent>
      </w:r>
      <w:r>
        <w:rPr>
          <w:sz w:val="21"/>
        </w:rPr>
        <w:drawing>
          <wp:anchor distT="0" distB="0" distL="114300" distR="114300" simplePos="0" relativeHeight="251660288" behindDoc="0" locked="0" layoutInCell="1" allowOverlap="1">
            <wp:simplePos x="0" y="0"/>
            <wp:positionH relativeFrom="column">
              <wp:posOffset>1522095</wp:posOffset>
            </wp:positionH>
            <wp:positionV relativeFrom="paragraph">
              <wp:posOffset>4516120</wp:posOffset>
            </wp:positionV>
            <wp:extent cx="5272405" cy="5134610"/>
            <wp:effectExtent l="0" t="0" r="0" b="0"/>
            <wp:wrapNone/>
            <wp:docPr id="9" name="图片 1" descr="职业教育手册（高职）-第一稿-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职业教育手册（高职）-第一稿-37"/>
                    <pic:cNvPicPr>
                      <a:picLocks noChangeAspect="1"/>
                    </pic:cNvPicPr>
                  </pic:nvPicPr>
                  <pic:blipFill>
                    <a:blip r:embed="rId9"/>
                    <a:stretch>
                      <a:fillRect/>
                    </a:stretch>
                  </pic:blipFill>
                  <pic:spPr>
                    <a:xfrm>
                      <a:off x="0" y="0"/>
                      <a:ext cx="5272405" cy="5134610"/>
                    </a:xfrm>
                    <a:prstGeom prst="rect">
                      <a:avLst/>
                    </a:prstGeom>
                    <a:noFill/>
                    <a:ln>
                      <a:noFill/>
                    </a:ln>
                  </pic:spPr>
                </pic:pic>
              </a:graphicData>
            </a:graphic>
          </wp:anchor>
        </w:drawing>
      </w:r>
    </w:p>
    <w:p w14:paraId="75120CAF">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ascii="Times New Roman" w:hAnsi="Times New Roman" w:eastAsia="仿宋_GB2312" w:cs="Times New Roman"/>
          <w:color w:val="000000"/>
          <w:sz w:val="32"/>
          <w:szCs w:val="32"/>
        </w:rPr>
      </w:pPr>
      <w:r>
        <w:rPr>
          <w:rFonts w:hint="eastAsia" w:ascii="仿宋_GB2312" w:hAnsi="仿宋_GB2312" w:eastAsia="仿宋_GB2312" w:cs="仿宋_GB2312"/>
          <w:color w:val="000000"/>
          <w:sz w:val="32"/>
          <w:szCs w:val="32"/>
          <w:lang w:val="en-US" w:eastAsia="zh-CN"/>
        </w:rPr>
        <w:t>为深入贯彻国家关于专业技术人才队伍建设的重要指示精神，进一步提升专业技术人员的综合素质和创新能力，根据《专业技术人员继续教育规定》（人社部令第25号）文件要求</w:t>
      </w:r>
      <w:r>
        <w:rPr>
          <w:rFonts w:hint="eastAsia" w:ascii="Times New Roman" w:hAnsi="Times New Roman" w:eastAsia="仿宋_GB2312" w:cs="Times New Roman"/>
          <w:color w:val="000000"/>
          <w:sz w:val="32"/>
          <w:szCs w:val="32"/>
        </w:rPr>
        <w:t>，淮南联合大学</w:t>
      </w:r>
      <w:r>
        <w:rPr>
          <w:rFonts w:hint="eastAsia" w:ascii="Times New Roman" w:hAnsi="Times New Roman" w:eastAsia="仿宋_GB2312" w:cs="Times New Roman"/>
          <w:color w:val="000000"/>
          <w:sz w:val="32"/>
          <w:szCs w:val="32"/>
          <w:lang w:val="en-US" w:eastAsia="zh-CN"/>
        </w:rPr>
        <w:t>决定依托</w:t>
      </w:r>
      <w:r>
        <w:rPr>
          <w:rFonts w:hint="eastAsia" w:ascii="Times New Roman" w:hAnsi="Times New Roman" w:eastAsia="仿宋_GB2312" w:cs="Times New Roman"/>
          <w:color w:val="000000"/>
          <w:sz w:val="32"/>
          <w:szCs w:val="32"/>
        </w:rPr>
        <w:t>中国教育干部网络学院</w:t>
      </w:r>
      <w:r>
        <w:rPr>
          <w:rFonts w:hint="eastAsia" w:ascii="Times New Roman" w:hAnsi="Times New Roman" w:eastAsia="仿宋_GB2312" w:cs="Times New Roman"/>
          <w:color w:val="000000"/>
          <w:sz w:val="32"/>
          <w:szCs w:val="32"/>
          <w:lang w:val="en-US" w:eastAsia="zh-CN"/>
        </w:rPr>
        <w:t>组织</w:t>
      </w:r>
      <w:r>
        <w:rPr>
          <w:rFonts w:hint="eastAsia" w:ascii="Times New Roman" w:hAnsi="Times New Roman" w:eastAsia="仿宋_GB2312" w:cs="Times New Roman"/>
          <w:color w:val="000000" w:themeColor="text1"/>
          <w:sz w:val="32"/>
          <w:szCs w:val="32"/>
          <w14:textFill>
            <w14:solidFill>
              <w14:schemeClr w14:val="tx1"/>
            </w14:solidFill>
          </w14:textFill>
        </w:rPr>
        <w:t>开展</w:t>
      </w:r>
      <w:r>
        <w:rPr>
          <w:rFonts w:hint="eastAsia" w:ascii="Times New Roman" w:hAnsi="Times New Roman" w:eastAsia="仿宋_GB2312" w:cs="Times New Roman"/>
          <w:b/>
          <w:bCs/>
          <w:color w:val="000000"/>
          <w:sz w:val="32"/>
          <w:szCs w:val="32"/>
          <w:lang w:val="en-US" w:eastAsia="zh-CN"/>
        </w:rPr>
        <w:t>2026年专业技术人员继续教育暨数字素养提升专题网络培训。</w:t>
      </w:r>
      <w:r>
        <w:rPr>
          <w:rFonts w:hint="eastAsia" w:ascii="Times New Roman" w:hAnsi="Times New Roman" w:eastAsia="仿宋_GB2312" w:cs="Times New Roman"/>
          <w:color w:val="000000"/>
          <w:sz w:val="32"/>
          <w:szCs w:val="32"/>
        </w:rPr>
        <w:t>为保证培训的顺利实施，特制订本方案。</w:t>
      </w:r>
    </w:p>
    <w:p w14:paraId="063CAB81">
      <w:pPr>
        <w:keepNext/>
        <w:keepLines/>
        <w:pageBreakBefore w:val="0"/>
        <w:widowControl w:val="0"/>
        <w:kinsoku/>
        <w:wordWrap/>
        <w:overflowPunct/>
        <w:topLinePunct w:val="0"/>
        <w:autoSpaceDE/>
        <w:autoSpaceDN/>
        <w:bidi w:val="0"/>
        <w:adjustRightInd/>
        <w:snapToGrid w:val="0"/>
        <w:spacing w:line="580" w:lineRule="exact"/>
        <w:ind w:firstLine="640" w:firstLineChars="200"/>
        <w:jc w:val="both"/>
        <w:textAlignment w:val="auto"/>
        <w:outlineLvl w:val="0"/>
        <w:rPr>
          <w:rFonts w:hint="eastAsia" w:ascii="Calibri" w:hAnsi="Calibri" w:eastAsia="黑体" w:cs="Times New Roman"/>
          <w:bCs/>
          <w:kern w:val="44"/>
          <w:sz w:val="32"/>
          <w:szCs w:val="44"/>
          <w:lang w:val="en-US" w:eastAsia="zh-CN" w:bidi="ar-SA"/>
        </w:rPr>
      </w:pPr>
      <w:r>
        <w:rPr>
          <w:rFonts w:hint="eastAsia" w:ascii="Calibri" w:hAnsi="Calibri" w:eastAsia="黑体" w:cs="Times New Roman"/>
          <w:bCs/>
          <w:kern w:val="44"/>
          <w:sz w:val="32"/>
          <w:szCs w:val="44"/>
          <w:lang w:val="en-US" w:eastAsia="zh-CN" w:bidi="ar-SA"/>
        </w:rPr>
        <w:t>一、培训目标</w:t>
      </w:r>
    </w:p>
    <w:p w14:paraId="55BFA4EF">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以习近平新时代中国特色社会主义思想为指导，锚定教育强国建设战略目标，牢牢把握高技能人才培养的功能定位，聚焦职业教育教学关键要素改革与“人工智能+教育”行动计划，引导学员将改革理念转化为行动路径，为加快构建现代职业教育体系、筑牢教育强国建设人才根基提供坚实支撑。</w:t>
      </w:r>
    </w:p>
    <w:p w14:paraId="276FECEE">
      <w:pPr>
        <w:keepNext/>
        <w:keepLines/>
        <w:pageBreakBefore w:val="0"/>
        <w:widowControl w:val="0"/>
        <w:kinsoku/>
        <w:wordWrap/>
        <w:overflowPunct/>
        <w:topLinePunct w:val="0"/>
        <w:autoSpaceDE/>
        <w:autoSpaceDN/>
        <w:bidi w:val="0"/>
        <w:adjustRightInd/>
        <w:snapToGrid w:val="0"/>
        <w:spacing w:line="580" w:lineRule="exact"/>
        <w:ind w:firstLine="640" w:firstLineChars="200"/>
        <w:jc w:val="both"/>
        <w:textAlignment w:val="auto"/>
        <w:outlineLvl w:val="0"/>
        <w:rPr>
          <w:rFonts w:hint="eastAsia" w:ascii="Calibri" w:hAnsi="Calibri" w:eastAsia="黑体" w:cs="Times New Roman"/>
          <w:bCs/>
          <w:kern w:val="44"/>
          <w:sz w:val="32"/>
          <w:szCs w:val="44"/>
          <w:lang w:val="en-US" w:eastAsia="zh-CN" w:bidi="ar-SA"/>
        </w:rPr>
      </w:pPr>
      <w:r>
        <w:rPr>
          <w:rFonts w:hint="eastAsia" w:ascii="Calibri" w:hAnsi="Calibri" w:eastAsia="黑体" w:cs="Times New Roman"/>
          <w:bCs/>
          <w:kern w:val="44"/>
          <w:sz w:val="32"/>
          <w:szCs w:val="44"/>
          <w:lang w:val="en-US" w:eastAsia="zh-CN" w:bidi="ar-SA"/>
        </w:rPr>
        <w:t>二、培训对象</w:t>
      </w:r>
    </w:p>
    <w:p w14:paraId="7B22296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highlight w:val="none"/>
          <w:lang w:val="en-US" w:eastAsia="zh-CN"/>
        </w:rPr>
        <w:t>淮南联合大学专任教师及其他</w:t>
      </w:r>
      <w:r>
        <w:rPr>
          <w:rFonts w:hint="eastAsia" w:ascii="Times New Roman" w:hAnsi="Times New Roman" w:eastAsia="仿宋_GB2312" w:cs="Times New Roman"/>
          <w:color w:val="000000"/>
          <w:sz w:val="32"/>
          <w:szCs w:val="32"/>
        </w:rPr>
        <w:t>专业技术人员。</w:t>
      </w:r>
    </w:p>
    <w:p w14:paraId="3D298ADA">
      <w:pPr>
        <w:keepNext/>
        <w:keepLines/>
        <w:pageBreakBefore w:val="0"/>
        <w:widowControl w:val="0"/>
        <w:kinsoku/>
        <w:wordWrap/>
        <w:overflowPunct/>
        <w:topLinePunct w:val="0"/>
        <w:autoSpaceDE/>
        <w:autoSpaceDN/>
        <w:bidi w:val="0"/>
        <w:adjustRightInd/>
        <w:snapToGrid w:val="0"/>
        <w:spacing w:before="0" w:line="580" w:lineRule="exact"/>
        <w:ind w:firstLine="640" w:firstLineChars="200"/>
        <w:jc w:val="both"/>
        <w:textAlignment w:val="auto"/>
        <w:outlineLvl w:val="0"/>
        <w:rPr>
          <w:rFonts w:ascii="Calibri" w:hAnsi="Calibri" w:eastAsia="黑体" w:cs="Times New Roman"/>
          <w:bCs/>
          <w:kern w:val="44"/>
          <w:sz w:val="32"/>
          <w:szCs w:val="44"/>
          <w:lang w:val="en-US" w:eastAsia="zh-CN" w:bidi="ar-SA"/>
        </w:rPr>
      </w:pPr>
      <w:r>
        <w:rPr>
          <w:rFonts w:hint="eastAsia" w:ascii="Calibri" w:hAnsi="Calibri" w:eastAsia="黑体" w:cs="Times New Roman"/>
          <w:bCs/>
          <w:kern w:val="44"/>
          <w:sz w:val="32"/>
          <w:szCs w:val="44"/>
          <w:lang w:val="en-US" w:eastAsia="zh-CN" w:bidi="ar-SA"/>
        </w:rPr>
        <w:t>三、培训时间</w:t>
      </w:r>
    </w:p>
    <w:p w14:paraId="5543A249">
      <w:pPr>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Calibri" w:hAnsi="Calibri" w:eastAsia="仿宋_GB2312" w:cs="Times New Roman"/>
          <w:sz w:val="32"/>
          <w:lang w:val="en-US" w:eastAsia="zh-CN"/>
        </w:rPr>
      </w:pPr>
      <w:r>
        <w:rPr>
          <w:rFonts w:hint="eastAsia" w:ascii="Calibri" w:hAnsi="Calibri" w:eastAsia="仿宋_GB2312" w:cs="Times New Roman"/>
          <w:sz w:val="32"/>
          <w:lang w:val="en-US" w:eastAsia="zh-CN"/>
        </w:rPr>
        <w:t>培训时长一般为</w:t>
      </w:r>
      <w:r>
        <w:rPr>
          <w:rFonts w:hint="default" w:ascii="Times New Roman" w:hAnsi="Times New Roman" w:eastAsia="仿宋_GB2312" w:cs="Times New Roman"/>
          <w:sz w:val="32"/>
          <w:lang w:val="en-US" w:eastAsia="zh-CN"/>
        </w:rPr>
        <w:t>3</w:t>
      </w:r>
      <w:r>
        <w:rPr>
          <w:rFonts w:hint="eastAsia" w:ascii="Calibri" w:hAnsi="Calibri" w:eastAsia="仿宋_GB2312" w:cs="Times New Roman"/>
          <w:sz w:val="32"/>
          <w:lang w:val="en-US" w:eastAsia="zh-CN"/>
        </w:rPr>
        <w:t>个月，具体启动时间由淮南联合大学与中国教育干部网络学院协商确定。</w:t>
      </w:r>
    </w:p>
    <w:p w14:paraId="1E75AB70">
      <w:pPr>
        <w:keepNext/>
        <w:keepLines/>
        <w:pageBreakBefore w:val="0"/>
        <w:widowControl w:val="0"/>
        <w:kinsoku/>
        <w:wordWrap/>
        <w:overflowPunct/>
        <w:topLinePunct w:val="0"/>
        <w:autoSpaceDE/>
        <w:autoSpaceDN/>
        <w:bidi w:val="0"/>
        <w:adjustRightInd/>
        <w:snapToGrid w:val="0"/>
        <w:spacing w:before="0" w:line="580" w:lineRule="exact"/>
        <w:ind w:firstLine="640" w:firstLineChars="200"/>
        <w:jc w:val="both"/>
        <w:textAlignment w:val="auto"/>
        <w:outlineLvl w:val="0"/>
        <w:rPr>
          <w:rFonts w:hint="default" w:ascii="Calibri" w:hAnsi="Calibri" w:eastAsia="黑体" w:cs="Times New Roman"/>
          <w:bCs/>
          <w:kern w:val="44"/>
          <w:sz w:val="32"/>
          <w:szCs w:val="44"/>
          <w:lang w:val="en-US" w:eastAsia="zh-CN" w:bidi="ar-SA"/>
        </w:rPr>
      </w:pPr>
      <w:r>
        <w:rPr>
          <w:rFonts w:hint="eastAsia" w:ascii="Calibri" w:hAnsi="Calibri" w:eastAsia="黑体" w:cs="Times New Roman"/>
          <w:bCs/>
          <w:kern w:val="44"/>
          <w:sz w:val="32"/>
          <w:szCs w:val="44"/>
          <w:lang w:val="en-US" w:eastAsia="zh-CN" w:bidi="ar-SA"/>
        </w:rPr>
        <w:t>四、培训内容</w:t>
      </w:r>
    </w:p>
    <w:p w14:paraId="67A9179E">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Calibri" w:hAnsi="Calibri" w:eastAsia="仿宋_GB2312" w:cs="Times New Roman"/>
          <w:sz w:val="32"/>
          <w:lang w:val="en-US" w:eastAsia="zh-CN"/>
        </w:rPr>
        <w:t>培训紧密围绕教育强国建设对高校人才队伍提出的新要求，全面满足参训人员专业知识与能力提高、数字素养与技能提升的双重需求。设计</w:t>
      </w:r>
      <w:r>
        <w:rPr>
          <w:rFonts w:hint="eastAsia" w:ascii="Calibri" w:hAnsi="Calibri" w:eastAsia="仿宋_GB2312" w:cs="Times New Roman"/>
          <w:b/>
          <w:bCs/>
          <w:sz w:val="32"/>
          <w:lang w:val="en-US" w:eastAsia="zh-CN"/>
        </w:rPr>
        <w:t>专业动态调整、课程组合优化、新形态教材建设、师资队伍建设、实习实训基地建设、</w:t>
      </w:r>
      <w:r>
        <w:rPr>
          <w:rFonts w:hint="eastAsia" w:ascii="Times New Roman" w:hAnsi="Times New Roman" w:eastAsia="仿宋_GB2312" w:cs="Times New Roman"/>
          <w:b/>
          <w:bCs/>
          <w:color w:val="000000"/>
          <w:sz w:val="32"/>
          <w:szCs w:val="32"/>
          <w:lang w:val="en-US" w:eastAsia="zh-CN"/>
        </w:rPr>
        <w:t>AI赋能课程建设、AI赋能教育教学、AI赋能科研创新等模块</w:t>
      </w:r>
      <w:r>
        <w:rPr>
          <w:rFonts w:hint="eastAsia" w:ascii="Times New Roman" w:hAnsi="Times New Roman" w:eastAsia="仿宋_GB2312" w:cs="Times New Roman"/>
          <w:color w:val="000000"/>
          <w:sz w:val="32"/>
          <w:szCs w:val="32"/>
          <w:lang w:val="en-US" w:eastAsia="zh-CN"/>
        </w:rPr>
        <w:t>。为学员提供专业化、精准化的能力提升路径。</w:t>
      </w:r>
    </w:p>
    <w:p w14:paraId="2205D8B3">
      <w:pPr>
        <w:keepNext/>
        <w:keepLines/>
        <w:pageBreakBefore w:val="0"/>
        <w:widowControl w:val="0"/>
        <w:kinsoku/>
        <w:wordWrap/>
        <w:overflowPunct/>
        <w:topLinePunct w:val="0"/>
        <w:autoSpaceDE/>
        <w:autoSpaceDN/>
        <w:bidi w:val="0"/>
        <w:adjustRightInd/>
        <w:snapToGrid w:val="0"/>
        <w:spacing w:line="580" w:lineRule="exact"/>
        <w:ind w:firstLine="640" w:firstLineChars="200"/>
        <w:jc w:val="both"/>
        <w:textAlignment w:val="auto"/>
        <w:outlineLvl w:val="0"/>
        <w:rPr>
          <w:rFonts w:hint="eastAsia" w:ascii="Calibri" w:hAnsi="Calibri" w:eastAsia="黑体" w:cs="Times New Roman"/>
          <w:bCs/>
          <w:kern w:val="44"/>
          <w:sz w:val="32"/>
          <w:szCs w:val="44"/>
          <w:lang w:val="en-US" w:eastAsia="zh-CN" w:bidi="ar-SA"/>
        </w:rPr>
      </w:pPr>
      <w:r>
        <w:rPr>
          <w:rFonts w:hint="eastAsia" w:ascii="Calibri" w:hAnsi="Calibri" w:eastAsia="黑体" w:cs="Times New Roman"/>
          <w:bCs/>
          <w:kern w:val="44"/>
          <w:sz w:val="32"/>
          <w:szCs w:val="44"/>
          <w:lang w:val="en-US" w:eastAsia="zh-CN" w:bidi="ar-SA"/>
        </w:rPr>
        <w:t>五、培训形式</w:t>
      </w:r>
    </w:p>
    <w:p w14:paraId="38F8E562">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lang w:val="en-US" w:eastAsia="zh-CN"/>
        </w:rPr>
        <w:t>本次培训依托中国教育干部网络学院（www.enaea.edu.cn）平台组织实施，参训学员在中国教育干部网络学院进行实名注册，登录后使用统一发放的学习卡参加学习（已注册过的学员可直接登录并使用学习卡），也可以直接下载移动客户端（学习公社APP）随时登录学习。</w:t>
      </w:r>
    </w:p>
    <w:p w14:paraId="3B0AFF03">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3" w:firstLineChars="200"/>
        <w:textAlignment w:val="auto"/>
        <w:rPr>
          <w:rFonts w:hint="eastAsia" w:ascii="楷体" w:hAnsi="楷体" w:eastAsia="楷体" w:cs="楷体"/>
          <w:b/>
          <w:color w:val="000000"/>
          <w:sz w:val="32"/>
          <w:szCs w:val="30"/>
        </w:rPr>
      </w:pPr>
      <w:r>
        <w:rPr>
          <w:rFonts w:hint="eastAsia" w:ascii="楷体" w:hAnsi="楷体" w:eastAsia="楷体" w:cs="楷体"/>
          <w:b/>
          <w:color w:val="000000"/>
          <w:sz w:val="32"/>
          <w:szCs w:val="30"/>
          <w:lang w:eastAsia="zh-CN"/>
        </w:rPr>
        <w:t>（</w:t>
      </w:r>
      <w:r>
        <w:rPr>
          <w:rFonts w:hint="eastAsia" w:ascii="楷体" w:hAnsi="楷体" w:eastAsia="楷体" w:cs="楷体"/>
          <w:b/>
          <w:color w:val="000000"/>
          <w:sz w:val="32"/>
          <w:szCs w:val="30"/>
          <w:lang w:val="en-US" w:eastAsia="zh-CN"/>
        </w:rPr>
        <w:t>一</w:t>
      </w:r>
      <w:r>
        <w:rPr>
          <w:rFonts w:hint="eastAsia" w:ascii="楷体" w:hAnsi="楷体" w:eastAsia="楷体" w:cs="楷体"/>
          <w:b/>
          <w:color w:val="000000"/>
          <w:sz w:val="32"/>
          <w:szCs w:val="30"/>
          <w:lang w:eastAsia="zh-CN"/>
        </w:rPr>
        <w:t>）</w:t>
      </w:r>
      <w:r>
        <w:rPr>
          <w:rFonts w:hint="eastAsia" w:ascii="楷体" w:hAnsi="楷体" w:eastAsia="楷体" w:cs="楷体"/>
          <w:b/>
          <w:color w:val="000000"/>
          <w:sz w:val="32"/>
          <w:szCs w:val="30"/>
        </w:rPr>
        <w:t>学习环节</w:t>
      </w:r>
    </w:p>
    <w:p w14:paraId="552811A5">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000000"/>
          <w:sz w:val="32"/>
          <w:szCs w:val="30"/>
        </w:rPr>
      </w:pPr>
      <w:r>
        <w:rPr>
          <w:rFonts w:hint="default" w:ascii="Times New Roman" w:hAnsi="Times New Roman" w:eastAsia="仿宋_GB2312" w:cs="Times New Roman"/>
          <w:color w:val="000000"/>
          <w:sz w:val="32"/>
          <w:szCs w:val="30"/>
          <w:lang w:val="en-US" w:eastAsia="zh-CN"/>
        </w:rPr>
        <w:t>培训项目</w:t>
      </w:r>
      <w:r>
        <w:rPr>
          <w:rFonts w:hint="default" w:ascii="Times New Roman" w:hAnsi="Times New Roman" w:eastAsia="仿宋_GB2312" w:cs="Times New Roman"/>
          <w:color w:val="000000"/>
          <w:sz w:val="32"/>
          <w:szCs w:val="30"/>
        </w:rPr>
        <w:t>设置</w:t>
      </w:r>
      <w:r>
        <w:rPr>
          <w:rFonts w:hint="eastAsia" w:ascii="Times New Roman" w:hAnsi="Times New Roman" w:eastAsia="仿宋_GB2312" w:cs="Times New Roman"/>
          <w:color w:val="000000"/>
          <w:sz w:val="32"/>
          <w:szCs w:val="30"/>
          <w:lang w:val="en-US" w:eastAsia="zh-CN"/>
        </w:rPr>
        <w:t>课程学习、</w:t>
      </w:r>
      <w:r>
        <w:rPr>
          <w:rFonts w:hint="default" w:ascii="Times New Roman" w:hAnsi="Times New Roman" w:eastAsia="仿宋_GB2312" w:cs="Times New Roman"/>
          <w:color w:val="000000"/>
          <w:sz w:val="32"/>
          <w:szCs w:val="30"/>
        </w:rPr>
        <w:t>主题研讨、</w:t>
      </w:r>
      <w:r>
        <w:rPr>
          <w:rFonts w:hint="default" w:ascii="Times New Roman" w:hAnsi="Times New Roman" w:eastAsia="仿宋_GB2312" w:cs="Times New Roman"/>
          <w:color w:val="000000"/>
          <w:sz w:val="32"/>
          <w:szCs w:val="30"/>
          <w:lang w:val="en-US" w:eastAsia="zh-CN"/>
        </w:rPr>
        <w:t>研修总结</w:t>
      </w:r>
      <w:r>
        <w:rPr>
          <w:rFonts w:hint="eastAsia" w:ascii="Times New Roman" w:hAnsi="Times New Roman" w:eastAsia="仿宋_GB2312" w:cs="Times New Roman"/>
          <w:color w:val="000000"/>
          <w:sz w:val="32"/>
          <w:szCs w:val="30"/>
          <w:lang w:val="en-US" w:eastAsia="zh-CN"/>
        </w:rPr>
        <w:t>三</w:t>
      </w:r>
      <w:r>
        <w:rPr>
          <w:rFonts w:hint="default" w:ascii="Times New Roman" w:hAnsi="Times New Roman" w:eastAsia="仿宋_GB2312" w:cs="Times New Roman"/>
          <w:color w:val="000000"/>
          <w:sz w:val="32"/>
          <w:szCs w:val="30"/>
        </w:rPr>
        <w:t>个环节。</w:t>
      </w:r>
    </w:p>
    <w:p w14:paraId="17478613">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3" w:firstLineChars="200"/>
        <w:textAlignment w:val="auto"/>
        <w:rPr>
          <w:rFonts w:hint="default" w:ascii="Times New Roman" w:hAnsi="Times New Roman" w:eastAsia="仿宋_GB2312" w:cs="Times New Roman"/>
          <w:b/>
          <w:bCs/>
          <w:color w:val="000000"/>
          <w:sz w:val="32"/>
          <w:szCs w:val="30"/>
          <w:lang w:val="en-US" w:eastAsia="zh-CN"/>
        </w:rPr>
      </w:pPr>
      <w:r>
        <w:rPr>
          <w:rFonts w:hint="eastAsia" w:ascii="Times New Roman" w:hAnsi="Times New Roman" w:eastAsia="仿宋_GB2312" w:cs="Times New Roman"/>
          <w:b/>
          <w:bCs/>
          <w:color w:val="000000"/>
          <w:sz w:val="32"/>
          <w:szCs w:val="30"/>
          <w:lang w:val="en-US" w:eastAsia="zh-CN"/>
        </w:rPr>
        <w:t>1.课程学习：</w:t>
      </w:r>
      <w:r>
        <w:rPr>
          <w:rFonts w:hint="eastAsia" w:ascii="Times New Roman" w:hAnsi="Times New Roman" w:eastAsia="仿宋_GB2312" w:cs="仿宋_GB2312"/>
          <w:color w:val="000000"/>
          <w:sz w:val="32"/>
          <w:szCs w:val="30"/>
        </w:rPr>
        <w:t>参训学员</w:t>
      </w:r>
      <w:r>
        <w:rPr>
          <w:rFonts w:hint="eastAsia" w:ascii="Times New Roman" w:hAnsi="Times New Roman" w:eastAsia="仿宋_GB2312" w:cs="仿宋_GB2312"/>
          <w:color w:val="000000"/>
          <w:sz w:val="32"/>
          <w:szCs w:val="30"/>
          <w:lang w:val="en-US" w:eastAsia="zh-CN"/>
        </w:rPr>
        <w:t>参与线上点播课程学习并</w:t>
      </w:r>
      <w:r>
        <w:rPr>
          <w:rFonts w:hint="eastAsia" w:ascii="Times New Roman" w:hAnsi="Times New Roman" w:eastAsia="仿宋_GB2312" w:cs="仿宋_GB2312"/>
          <w:color w:val="000000"/>
          <w:sz w:val="32"/>
          <w:szCs w:val="30"/>
        </w:rPr>
        <w:t>完成</w:t>
      </w:r>
      <w:r>
        <w:rPr>
          <w:rFonts w:hint="eastAsia" w:ascii="Times New Roman" w:hAnsi="Times New Roman" w:eastAsia="仿宋_GB2312" w:cs="仿宋_GB2312"/>
          <w:color w:val="000000"/>
          <w:sz w:val="32"/>
          <w:szCs w:val="30"/>
          <w:lang w:val="en-US" w:eastAsia="zh-CN"/>
        </w:rPr>
        <w:t>不少于</w:t>
      </w:r>
      <w:r>
        <w:rPr>
          <w:rFonts w:hint="eastAsia" w:ascii="Times New Roman" w:hAnsi="Times New Roman" w:eastAsia="仿宋_GB2312" w:cs="Times New Roman"/>
          <w:color w:val="000000"/>
          <w:sz w:val="32"/>
          <w:szCs w:val="30"/>
          <w:lang w:val="en-US" w:eastAsia="zh-CN"/>
        </w:rPr>
        <w:t>6</w:t>
      </w:r>
      <w:r>
        <w:rPr>
          <w:rFonts w:hint="default" w:ascii="Times New Roman" w:hAnsi="Times New Roman" w:eastAsia="仿宋_GB2312" w:cs="Times New Roman"/>
          <w:color w:val="000000"/>
          <w:sz w:val="32"/>
          <w:szCs w:val="30"/>
          <w:lang w:val="en-US" w:eastAsia="zh-CN"/>
        </w:rPr>
        <w:t>0</w:t>
      </w:r>
      <w:r>
        <w:rPr>
          <w:rFonts w:hint="eastAsia" w:ascii="Times New Roman" w:hAnsi="Times New Roman" w:eastAsia="仿宋_GB2312" w:cs="仿宋_GB2312"/>
          <w:color w:val="000000"/>
          <w:sz w:val="32"/>
          <w:szCs w:val="30"/>
        </w:rPr>
        <w:t>学时（</w:t>
      </w:r>
      <w:r>
        <w:rPr>
          <w:rFonts w:hint="default" w:ascii="Times New Roman" w:hAnsi="Times New Roman" w:eastAsia="仿宋_GB2312" w:cs="Times New Roman"/>
          <w:color w:val="000000"/>
          <w:sz w:val="32"/>
          <w:szCs w:val="30"/>
        </w:rPr>
        <w:t>45</w:t>
      </w:r>
      <w:r>
        <w:rPr>
          <w:rFonts w:hint="eastAsia" w:ascii="Times New Roman" w:hAnsi="Times New Roman" w:eastAsia="仿宋_GB2312" w:cs="仿宋_GB2312"/>
          <w:color w:val="000000"/>
          <w:sz w:val="32"/>
          <w:szCs w:val="30"/>
        </w:rPr>
        <w:t>分钟/学时）的</w:t>
      </w:r>
      <w:r>
        <w:rPr>
          <w:rFonts w:hint="eastAsia" w:ascii="Times New Roman" w:hAnsi="Times New Roman" w:eastAsia="仿宋_GB2312" w:cs="仿宋_GB2312"/>
          <w:color w:val="000000"/>
          <w:sz w:val="32"/>
          <w:szCs w:val="30"/>
          <w:lang w:val="en-US" w:eastAsia="zh-CN"/>
        </w:rPr>
        <w:t>课程</w:t>
      </w:r>
      <w:r>
        <w:rPr>
          <w:rFonts w:hint="eastAsia" w:ascii="Times New Roman" w:hAnsi="Times New Roman" w:eastAsia="仿宋_GB2312" w:cs="仿宋_GB2312"/>
          <w:color w:val="000000"/>
          <w:sz w:val="32"/>
          <w:szCs w:val="30"/>
        </w:rPr>
        <w:t>学习任务</w:t>
      </w:r>
      <w:r>
        <w:rPr>
          <w:rFonts w:hint="eastAsia" w:ascii="Times New Roman" w:hAnsi="Times New Roman" w:eastAsia="仿宋_GB2312" w:cs="仿宋_GB2312"/>
          <w:color w:val="000000"/>
          <w:sz w:val="32"/>
          <w:szCs w:val="30"/>
          <w:lang w:val="en-US" w:eastAsia="zh-CN"/>
        </w:rPr>
        <w:t>。</w:t>
      </w:r>
    </w:p>
    <w:p w14:paraId="094FDE7C">
      <w:pPr>
        <w:pStyle w:val="18"/>
        <w:keepNext w:val="0"/>
        <w:keepLines w:val="0"/>
        <w:pageBreakBefore w:val="0"/>
        <w:widowControl w:val="0"/>
        <w:numPr>
          <w:ilvl w:val="0"/>
          <w:numId w:val="0"/>
        </w:numPr>
        <w:shd w:val="clear"/>
        <w:tabs>
          <w:tab w:val="left" w:pos="3119"/>
        </w:tabs>
        <w:kinsoku/>
        <w:wordWrap/>
        <w:overflowPunct/>
        <w:topLinePunct w:val="0"/>
        <w:autoSpaceDE/>
        <w:autoSpaceDN/>
        <w:bidi w:val="0"/>
        <w:adjustRightInd/>
        <w:snapToGrid w:val="0"/>
        <w:spacing w:line="580" w:lineRule="exact"/>
        <w:ind w:leftChars="0" w:firstLine="643" w:firstLineChars="200"/>
        <w:textAlignment w:val="auto"/>
        <w:rPr>
          <w:rFonts w:hint="eastAsia" w:ascii="Times New Roman" w:hAnsi="Times New Roman" w:eastAsia="仿宋_GB2312" w:cs="楷体"/>
          <w:color w:val="auto"/>
          <w:kern w:val="2"/>
          <w:sz w:val="32"/>
          <w:szCs w:val="30"/>
          <w:lang w:val="en-US" w:eastAsia="zh-CN" w:bidi="ar-SA"/>
        </w:rPr>
      </w:pPr>
      <w:r>
        <w:rPr>
          <w:rFonts w:hint="eastAsia" w:ascii="Times New Roman" w:hAnsi="Times New Roman" w:eastAsia="仿宋_GB2312" w:cs="Times New Roman"/>
          <w:b/>
          <w:color w:val="auto"/>
          <w:sz w:val="32"/>
          <w:szCs w:val="30"/>
          <w:lang w:val="en-US" w:eastAsia="zh-CN"/>
        </w:rPr>
        <w:t>2.</w:t>
      </w:r>
      <w:r>
        <w:rPr>
          <w:rFonts w:hint="default" w:ascii="Times New Roman" w:hAnsi="Times New Roman" w:eastAsia="仿宋_GB2312" w:cs="Times New Roman"/>
          <w:b/>
          <w:color w:val="auto"/>
          <w:sz w:val="32"/>
          <w:szCs w:val="30"/>
        </w:rPr>
        <w:t>主题研讨：</w:t>
      </w:r>
      <w:r>
        <w:rPr>
          <w:rFonts w:hint="default" w:ascii="Times New Roman" w:hAnsi="Times New Roman" w:eastAsia="仿宋_GB2312" w:cs="Times New Roman"/>
          <w:color w:val="auto"/>
          <w:sz w:val="32"/>
          <w:szCs w:val="30"/>
        </w:rPr>
        <w:t>培训期间，参训学员需在班级管理员的组织下，结合研讨主题和岗位工作实际进行主题研讨</w:t>
      </w:r>
      <w:r>
        <w:rPr>
          <w:rFonts w:hint="default" w:ascii="Times New Roman" w:hAnsi="Times New Roman" w:eastAsia="仿宋_GB2312" w:cs="Times New Roman"/>
          <w:color w:val="auto"/>
          <w:sz w:val="32"/>
          <w:szCs w:val="30"/>
          <w:lang w:eastAsia="zh-CN"/>
        </w:rPr>
        <w:t>，</w:t>
      </w:r>
      <w:r>
        <w:rPr>
          <w:rFonts w:hint="default" w:ascii="Times New Roman" w:hAnsi="Times New Roman" w:eastAsia="仿宋_GB2312" w:cs="Times New Roman"/>
          <w:color w:val="auto"/>
          <w:sz w:val="32"/>
          <w:szCs w:val="30"/>
          <w:lang w:val="en-US" w:eastAsia="zh-CN"/>
        </w:rPr>
        <w:t>最少发帖2条</w:t>
      </w:r>
      <w:r>
        <w:rPr>
          <w:rFonts w:hint="default" w:ascii="Times New Roman" w:hAnsi="Times New Roman" w:eastAsia="仿宋_GB2312" w:cs="Times New Roman"/>
          <w:color w:val="auto"/>
          <w:sz w:val="32"/>
          <w:szCs w:val="30"/>
        </w:rPr>
        <w:t>。</w:t>
      </w:r>
    </w:p>
    <w:p w14:paraId="27044660">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3" w:firstLineChars="200"/>
        <w:textAlignment w:val="auto"/>
        <w:rPr>
          <w:rFonts w:hint="default" w:ascii="Times New Roman" w:hAnsi="Times New Roman" w:eastAsia="仿宋_GB2312" w:cs="Times New Roman"/>
          <w:color w:val="auto"/>
          <w:sz w:val="32"/>
          <w:szCs w:val="30"/>
        </w:rPr>
      </w:pPr>
      <w:r>
        <w:rPr>
          <w:rFonts w:hint="eastAsia" w:ascii="Times New Roman" w:hAnsi="Times New Roman" w:eastAsia="仿宋_GB2312" w:cs="Times New Roman"/>
          <w:b/>
          <w:color w:val="auto"/>
          <w:sz w:val="32"/>
          <w:szCs w:val="30"/>
          <w:lang w:val="en-US" w:eastAsia="zh-CN"/>
        </w:rPr>
        <w:t>3.</w:t>
      </w:r>
      <w:r>
        <w:rPr>
          <w:rFonts w:hint="default" w:ascii="Times New Roman" w:hAnsi="Times New Roman" w:eastAsia="仿宋_GB2312" w:cs="Times New Roman"/>
          <w:b/>
          <w:color w:val="auto"/>
          <w:sz w:val="32"/>
          <w:szCs w:val="30"/>
          <w:lang w:val="en-US" w:eastAsia="zh-CN"/>
        </w:rPr>
        <w:t>研修总结</w:t>
      </w:r>
      <w:r>
        <w:rPr>
          <w:rFonts w:hint="default" w:ascii="Times New Roman" w:hAnsi="Times New Roman" w:eastAsia="仿宋_GB2312" w:cs="Times New Roman"/>
          <w:b/>
          <w:color w:val="auto"/>
          <w:sz w:val="32"/>
          <w:szCs w:val="30"/>
        </w:rPr>
        <w:t>：</w:t>
      </w:r>
      <w:r>
        <w:rPr>
          <w:rFonts w:hint="default" w:ascii="Times New Roman" w:hAnsi="Times New Roman" w:eastAsia="仿宋_GB2312" w:cs="Times New Roman"/>
          <w:color w:val="auto"/>
          <w:sz w:val="32"/>
          <w:szCs w:val="30"/>
        </w:rPr>
        <w:t>网络培训后期，鼓励参训学员结合培训目标、培训内容和自身工作实际，撰写一篇</w:t>
      </w:r>
      <w:r>
        <w:rPr>
          <w:rFonts w:hint="default" w:ascii="Times New Roman" w:hAnsi="Times New Roman" w:eastAsia="仿宋_GB2312" w:cs="Times New Roman"/>
          <w:color w:val="auto"/>
          <w:sz w:val="32"/>
          <w:szCs w:val="30"/>
          <w:lang w:val="en-US" w:eastAsia="zh-CN"/>
        </w:rPr>
        <w:t>1000</w:t>
      </w:r>
      <w:r>
        <w:rPr>
          <w:rFonts w:hint="default" w:ascii="Times New Roman" w:hAnsi="Times New Roman" w:eastAsia="仿宋_GB2312" w:cs="Times New Roman"/>
          <w:color w:val="auto"/>
          <w:sz w:val="32"/>
          <w:szCs w:val="30"/>
        </w:rPr>
        <w:t>字以上的</w:t>
      </w:r>
      <w:r>
        <w:rPr>
          <w:rFonts w:hint="eastAsia" w:ascii="Times New Roman" w:hAnsi="Times New Roman" w:eastAsia="仿宋_GB2312" w:cs="Times New Roman"/>
          <w:color w:val="auto"/>
          <w:sz w:val="32"/>
          <w:szCs w:val="30"/>
          <w:lang w:val="en-US" w:eastAsia="zh-CN"/>
        </w:rPr>
        <w:t>研修总结</w:t>
      </w:r>
      <w:r>
        <w:rPr>
          <w:rFonts w:hint="default" w:ascii="Times New Roman" w:hAnsi="Times New Roman" w:eastAsia="仿宋_GB2312" w:cs="Times New Roman"/>
          <w:color w:val="auto"/>
          <w:sz w:val="32"/>
          <w:szCs w:val="30"/>
        </w:rPr>
        <w:t>，作为本次培训的培训成果。</w:t>
      </w:r>
    </w:p>
    <w:p w14:paraId="56246576">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3" w:firstLineChars="200"/>
        <w:textAlignment w:val="auto"/>
        <w:rPr>
          <w:rFonts w:hint="eastAsia" w:ascii="楷体" w:hAnsi="楷体" w:eastAsia="楷体" w:cs="楷体"/>
          <w:b/>
          <w:color w:val="000000"/>
          <w:sz w:val="32"/>
          <w:szCs w:val="30"/>
        </w:rPr>
      </w:pPr>
      <w:r>
        <w:rPr>
          <w:rFonts w:hint="eastAsia" w:ascii="楷体" w:hAnsi="楷体" w:eastAsia="楷体" w:cs="楷体"/>
          <w:b/>
          <w:color w:val="000000"/>
          <w:sz w:val="32"/>
          <w:szCs w:val="30"/>
          <w:lang w:eastAsia="zh-CN"/>
        </w:rPr>
        <w:t>（</w:t>
      </w:r>
      <w:r>
        <w:rPr>
          <w:rFonts w:hint="eastAsia" w:ascii="楷体" w:hAnsi="楷体" w:eastAsia="楷体" w:cs="楷体"/>
          <w:b/>
          <w:color w:val="000000"/>
          <w:sz w:val="32"/>
          <w:szCs w:val="30"/>
          <w:lang w:val="en-US" w:eastAsia="zh-CN"/>
        </w:rPr>
        <w:t>二</w:t>
      </w:r>
      <w:r>
        <w:rPr>
          <w:rFonts w:hint="eastAsia" w:ascii="楷体" w:hAnsi="楷体" w:eastAsia="楷体" w:cs="楷体"/>
          <w:b/>
          <w:color w:val="000000"/>
          <w:sz w:val="32"/>
          <w:szCs w:val="30"/>
          <w:lang w:eastAsia="zh-CN"/>
        </w:rPr>
        <w:t>）</w:t>
      </w:r>
      <w:r>
        <w:rPr>
          <w:rFonts w:hint="eastAsia" w:ascii="楷体" w:hAnsi="楷体" w:eastAsia="楷体" w:cs="楷体"/>
          <w:b/>
          <w:color w:val="000000"/>
          <w:sz w:val="32"/>
          <w:szCs w:val="30"/>
        </w:rPr>
        <w:t>考核认证</w:t>
      </w:r>
    </w:p>
    <w:p w14:paraId="697F11ED">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为确保培训质量和培训效果，本次培训将对学员进行过程性考核。完成培训各环节考核要求</w:t>
      </w:r>
      <w:r>
        <w:rPr>
          <w:rFonts w:ascii="Times New Roman" w:hAnsi="Times New Roman" w:eastAsia="仿宋_GB2312"/>
          <w:sz w:val="32"/>
          <w:szCs w:val="30"/>
        </w:rPr>
        <w:t>且总成绩</w:t>
      </w:r>
      <w:r>
        <w:rPr>
          <w:rFonts w:hint="default" w:ascii="Times New Roman" w:hAnsi="Times New Roman" w:eastAsia="仿宋_GB2312" w:cs="Times New Roman"/>
          <w:color w:val="auto"/>
          <w:sz w:val="32"/>
          <w:szCs w:val="30"/>
        </w:rPr>
        <w:t>达到</w:t>
      </w:r>
      <w:r>
        <w:rPr>
          <w:rFonts w:hint="default" w:ascii="Times New Roman" w:hAnsi="Times New Roman" w:eastAsia="仿宋_GB2312" w:cs="Times New Roman"/>
          <w:sz w:val="32"/>
          <w:szCs w:val="30"/>
        </w:rPr>
        <w:t>90</w:t>
      </w:r>
      <w:r>
        <w:rPr>
          <w:rFonts w:ascii="Times New Roman" w:hAnsi="Times New Roman" w:eastAsia="仿宋_GB2312"/>
          <w:sz w:val="32"/>
          <w:szCs w:val="30"/>
        </w:rPr>
        <w:t>分及以上</w:t>
      </w:r>
      <w:r>
        <w:rPr>
          <w:rFonts w:hint="eastAsia" w:ascii="Times New Roman" w:hAnsi="Times New Roman" w:eastAsia="仿宋_GB2312" w:cs="Times New Roman"/>
          <w:sz w:val="32"/>
          <w:szCs w:val="32"/>
          <w:highlight w:val="none"/>
          <w:lang w:val="en-US" w:eastAsia="zh-CN"/>
        </w:rPr>
        <w:t>的学员可在线打印学时证明。参训单位可将学习时长计入继续教育培训学时。</w:t>
      </w:r>
    </w:p>
    <w:p w14:paraId="7E3BE42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cs="Times New Roman"/>
          <w:sz w:val="32"/>
          <w:szCs w:val="32"/>
          <w:highlight w:val="none"/>
          <w:lang w:val="en-US" w:eastAsia="zh-CN"/>
        </w:rPr>
      </w:pPr>
    </w:p>
    <w:p w14:paraId="6E16C901">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cs="Times New Roman"/>
          <w:sz w:val="32"/>
          <w:szCs w:val="32"/>
          <w:highlight w:val="none"/>
          <w:lang w:val="en-US" w:eastAsia="zh-CN"/>
        </w:rPr>
      </w:pPr>
    </w:p>
    <w:tbl>
      <w:tblPr>
        <w:tblStyle w:val="8"/>
        <w:tblW w:w="8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6425"/>
        <w:gridCol w:w="1136"/>
      </w:tblGrid>
      <w:tr w14:paraId="75EC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blHeader/>
          <w:jc w:val="center"/>
        </w:trPr>
        <w:tc>
          <w:tcPr>
            <w:tcW w:w="1262" w:type="dxa"/>
            <w:tcBorders>
              <w:top w:val="single" w:color="18A3E4" w:sz="6" w:space="0"/>
              <w:left w:val="single" w:color="18A3E4" w:sz="6" w:space="0"/>
              <w:bottom w:val="single" w:color="18A3E4" w:sz="6" w:space="0"/>
              <w:right w:val="single" w:color="18A3E4" w:sz="6" w:space="0"/>
            </w:tcBorders>
            <w:shd w:val="clear" w:color="auto" w:fill="18A3E4"/>
            <w:vAlign w:val="center"/>
          </w:tcPr>
          <w:p w14:paraId="4313EFAD">
            <w:pPr>
              <w:snapToGrid/>
              <w:spacing w:line="240" w:lineRule="auto"/>
              <w:ind w:firstLine="0" w:firstLineChars="0"/>
              <w:contextualSpacing/>
              <w:jc w:val="center"/>
              <w:rPr>
                <w:rFonts w:hint="default" w:ascii="Times New Roman" w:hAnsi="Times New Roman" w:eastAsia="黑体" w:cs="Times New Roman"/>
                <w:b/>
                <w:bCs/>
                <w:i w:val="0"/>
                <w:color w:val="FFFFFF"/>
                <w:sz w:val="24"/>
                <w:szCs w:val="22"/>
              </w:rPr>
            </w:pPr>
            <w:r>
              <w:rPr>
                <w:rFonts w:hint="default" w:ascii="Times New Roman" w:hAnsi="Times New Roman" w:eastAsia="黑体" w:cs="Times New Roman"/>
                <w:b/>
                <w:bCs/>
                <w:i w:val="0"/>
                <w:color w:val="FFFFFF"/>
                <w:sz w:val="24"/>
                <w:szCs w:val="22"/>
                <w:highlight w:val="yellow"/>
              </w:rPr>
              <w:br w:type="page"/>
            </w:r>
            <w:r>
              <w:rPr>
                <w:rFonts w:hint="default" w:ascii="Times New Roman" w:hAnsi="Times New Roman" w:eastAsia="黑体" w:cs="Times New Roman"/>
                <w:b/>
                <w:bCs/>
                <w:i w:val="0"/>
                <w:color w:val="FFFFFF"/>
                <w:sz w:val="24"/>
                <w:szCs w:val="22"/>
              </w:rPr>
              <w:t>考核维度</w:t>
            </w:r>
          </w:p>
        </w:tc>
        <w:tc>
          <w:tcPr>
            <w:tcW w:w="6425" w:type="dxa"/>
            <w:tcBorders>
              <w:top w:val="single" w:color="18A3E4" w:sz="6" w:space="0"/>
              <w:left w:val="single" w:color="A2DBF5" w:sz="6" w:space="0"/>
              <w:bottom w:val="single" w:color="18A3E4" w:sz="6" w:space="0"/>
              <w:right w:val="single" w:color="A2DBF5" w:sz="6" w:space="0"/>
            </w:tcBorders>
            <w:shd w:val="clear" w:color="auto" w:fill="18A3E4"/>
            <w:vAlign w:val="center"/>
          </w:tcPr>
          <w:p w14:paraId="2FB71E16">
            <w:pPr>
              <w:snapToGrid/>
              <w:spacing w:line="240" w:lineRule="auto"/>
              <w:ind w:firstLine="0" w:firstLineChars="0"/>
              <w:contextualSpacing/>
              <w:jc w:val="center"/>
              <w:rPr>
                <w:rFonts w:hint="default" w:ascii="Times New Roman" w:hAnsi="Times New Roman" w:eastAsia="黑体" w:cs="Times New Roman"/>
                <w:b/>
                <w:bCs/>
                <w:i w:val="0"/>
                <w:color w:val="FFFFFF"/>
                <w:sz w:val="24"/>
                <w:szCs w:val="22"/>
              </w:rPr>
            </w:pPr>
            <w:r>
              <w:rPr>
                <w:rFonts w:hint="default" w:ascii="Times New Roman" w:hAnsi="Times New Roman" w:eastAsia="黑体" w:cs="Times New Roman"/>
                <w:b/>
                <w:bCs/>
                <w:i w:val="0"/>
                <w:color w:val="FFFFFF"/>
                <w:sz w:val="24"/>
                <w:szCs w:val="22"/>
              </w:rPr>
              <w:t>考核内容</w:t>
            </w:r>
          </w:p>
        </w:tc>
        <w:tc>
          <w:tcPr>
            <w:tcW w:w="1136" w:type="dxa"/>
            <w:tcBorders>
              <w:top w:val="single" w:color="18A3E4" w:sz="6" w:space="0"/>
              <w:left w:val="single" w:color="A2DBF5" w:sz="6" w:space="0"/>
              <w:bottom w:val="single" w:color="18A3E4" w:sz="6" w:space="0"/>
              <w:right w:val="single" w:color="A2DBF5" w:sz="6" w:space="0"/>
            </w:tcBorders>
            <w:shd w:val="clear" w:color="auto" w:fill="18A3E4"/>
            <w:vAlign w:val="center"/>
          </w:tcPr>
          <w:p w14:paraId="51904424">
            <w:pPr>
              <w:snapToGrid/>
              <w:spacing w:line="240" w:lineRule="auto"/>
              <w:ind w:firstLine="0" w:firstLineChars="0"/>
              <w:contextualSpacing/>
              <w:jc w:val="center"/>
              <w:rPr>
                <w:rFonts w:hint="eastAsia" w:ascii="Times New Roman" w:hAnsi="Times New Roman" w:eastAsia="黑体" w:cs="Times New Roman"/>
                <w:b/>
                <w:bCs/>
                <w:i w:val="0"/>
                <w:color w:val="FFFFFF"/>
                <w:sz w:val="24"/>
                <w:szCs w:val="22"/>
                <w:lang w:val="en-US" w:eastAsia="zh-CN"/>
              </w:rPr>
            </w:pPr>
            <w:r>
              <w:rPr>
                <w:rFonts w:hint="eastAsia" w:ascii="Times New Roman" w:hAnsi="Times New Roman" w:eastAsia="黑体" w:cs="Times New Roman"/>
                <w:b/>
                <w:bCs/>
                <w:i w:val="0"/>
                <w:color w:val="FFFFFF"/>
                <w:sz w:val="24"/>
                <w:szCs w:val="22"/>
                <w:lang w:val="en-US" w:eastAsia="zh-CN"/>
              </w:rPr>
              <w:t>权重</w:t>
            </w:r>
          </w:p>
        </w:tc>
      </w:tr>
      <w:tr w14:paraId="6E03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blHeader/>
          <w:jc w:val="center"/>
        </w:trPr>
        <w:tc>
          <w:tcPr>
            <w:tcW w:w="1262" w:type="dxa"/>
            <w:vMerge w:val="restart"/>
            <w:tcBorders>
              <w:top w:val="single" w:color="18A3E4" w:sz="6" w:space="0"/>
              <w:left w:val="single" w:color="18A3E4" w:sz="6" w:space="0"/>
              <w:bottom w:val="single" w:color="A2DBF5" w:sz="6" w:space="0"/>
              <w:right w:val="single" w:color="18A3E4" w:sz="6" w:space="0"/>
            </w:tcBorders>
            <w:shd w:val="clear" w:color="auto" w:fill="FFFFFF"/>
            <w:vAlign w:val="center"/>
          </w:tcPr>
          <w:p w14:paraId="424D16C3">
            <w:pPr>
              <w:snapToGrid/>
              <w:spacing w:line="240" w:lineRule="auto"/>
              <w:ind w:firstLine="0" w:firstLineChars="0"/>
              <w:contextualSpacing/>
              <w:jc w:val="center"/>
              <w:rPr>
                <w:rFonts w:hint="default" w:ascii="Times New Roman" w:hAnsi="Times New Roman" w:eastAsia="仿宋_GB2312" w:cs="Times New Roman"/>
                <w:b/>
                <w:bCs/>
                <w:i w:val="0"/>
                <w:color w:val="000000"/>
                <w:sz w:val="24"/>
                <w:szCs w:val="22"/>
              </w:rPr>
            </w:pPr>
            <w:r>
              <w:rPr>
                <w:rFonts w:hint="default" w:ascii="Times New Roman" w:hAnsi="Times New Roman" w:eastAsia="仿宋_GB2312" w:cs="Times New Roman"/>
                <w:b/>
                <w:bCs/>
                <w:i w:val="0"/>
                <w:color w:val="000000"/>
                <w:sz w:val="24"/>
                <w:szCs w:val="22"/>
              </w:rPr>
              <w:t>过程考核</w:t>
            </w:r>
          </w:p>
        </w:tc>
        <w:tc>
          <w:tcPr>
            <w:tcW w:w="6425" w:type="dxa"/>
            <w:tcBorders>
              <w:top w:val="single" w:color="18A3E4" w:sz="6" w:space="0"/>
              <w:left w:val="single" w:color="18A3E4" w:sz="6" w:space="0"/>
              <w:bottom w:val="single" w:color="A2DBF5" w:sz="6" w:space="0"/>
              <w:right w:val="single" w:color="A2DBF5" w:sz="6" w:space="0"/>
            </w:tcBorders>
            <w:shd w:val="clear" w:color="auto" w:fill="FFFFFF"/>
            <w:vAlign w:val="center"/>
          </w:tcPr>
          <w:p w14:paraId="5D85523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241" w:firstLineChars="100"/>
              <w:textAlignment w:val="auto"/>
              <w:rPr>
                <w:rFonts w:hint="default" w:ascii="Times New Roman" w:hAnsi="Times New Roman" w:eastAsia="仿宋_GB2312" w:cs="Times New Roman"/>
                <w:b w:val="0"/>
                <w:i w:val="0"/>
                <w:kern w:val="2"/>
                <w:sz w:val="24"/>
                <w:szCs w:val="22"/>
                <w:lang w:val="en-US" w:eastAsia="zh-CN" w:bidi="ar-SA"/>
              </w:rPr>
            </w:pPr>
            <w:r>
              <w:rPr>
                <w:rFonts w:hint="eastAsia" w:ascii="Times New Roman" w:hAnsi="Times New Roman" w:eastAsia="仿宋_GB2312" w:cs="Times New Roman"/>
                <w:b/>
                <w:bCs/>
                <w:i w:val="0"/>
                <w:kern w:val="0"/>
                <w:sz w:val="24"/>
                <w:szCs w:val="24"/>
                <w:lang w:val="en-US" w:eastAsia="zh-CN"/>
              </w:rPr>
              <w:t>1</w:t>
            </w:r>
            <w:r>
              <w:rPr>
                <w:rFonts w:hint="default" w:ascii="Times New Roman" w:hAnsi="Times New Roman" w:eastAsia="仿宋_GB2312" w:cs="Times New Roman"/>
                <w:b/>
                <w:bCs/>
                <w:i w:val="0"/>
                <w:kern w:val="0"/>
                <w:sz w:val="24"/>
                <w:szCs w:val="24"/>
                <w:lang w:val="en-US" w:eastAsia="zh-CN"/>
              </w:rPr>
              <w:t>.</w:t>
            </w:r>
            <w:r>
              <w:rPr>
                <w:rFonts w:hint="eastAsia" w:ascii="Times New Roman" w:hAnsi="Times New Roman" w:eastAsia="仿宋_GB2312" w:cs="Times New Roman"/>
                <w:b/>
                <w:bCs/>
                <w:i w:val="0"/>
                <w:kern w:val="0"/>
                <w:sz w:val="24"/>
                <w:szCs w:val="24"/>
                <w:lang w:val="en-US" w:eastAsia="zh-CN"/>
              </w:rPr>
              <w:t>网络选学</w:t>
            </w:r>
            <w:r>
              <w:rPr>
                <w:rFonts w:hint="default" w:ascii="Times New Roman" w:hAnsi="Times New Roman" w:eastAsia="仿宋_GB2312" w:cs="Times New Roman"/>
                <w:b w:val="0"/>
                <w:bCs/>
                <w:i w:val="0"/>
                <w:kern w:val="0"/>
                <w:sz w:val="24"/>
                <w:szCs w:val="24"/>
                <w:lang w:eastAsia="zh-CN"/>
              </w:rPr>
              <w:t>。</w:t>
            </w:r>
            <w:r>
              <w:rPr>
                <w:rFonts w:hint="default" w:ascii="Times New Roman" w:hAnsi="Times New Roman" w:eastAsia="仿宋_GB2312" w:cs="Times New Roman"/>
                <w:b w:val="0"/>
                <w:bCs/>
                <w:i w:val="0"/>
                <w:sz w:val="24"/>
                <w:szCs w:val="22"/>
                <w:lang w:val="en-US" w:eastAsia="zh-CN"/>
              </w:rPr>
              <w:t>学员</w:t>
            </w:r>
            <w:r>
              <w:rPr>
                <w:rFonts w:hint="eastAsia" w:ascii="Times New Roman" w:hAnsi="Times New Roman" w:eastAsia="仿宋_GB2312" w:cs="Times New Roman"/>
                <w:b w:val="0"/>
                <w:bCs/>
                <w:i w:val="0"/>
                <w:sz w:val="24"/>
                <w:szCs w:val="22"/>
                <w:lang w:val="en-US" w:eastAsia="zh-CN"/>
              </w:rPr>
              <w:t>在规定时间内</w:t>
            </w:r>
            <w:r>
              <w:rPr>
                <w:rFonts w:hint="default" w:ascii="Times New Roman" w:hAnsi="Times New Roman" w:eastAsia="仿宋_GB2312" w:cs="Times New Roman"/>
                <w:b w:val="0"/>
                <w:bCs/>
                <w:i w:val="0"/>
                <w:sz w:val="24"/>
                <w:szCs w:val="22"/>
                <w:lang w:val="en-US" w:eastAsia="zh-CN"/>
              </w:rPr>
              <w:t>完成</w:t>
            </w:r>
            <w:r>
              <w:rPr>
                <w:rFonts w:hint="eastAsia" w:ascii="Times New Roman" w:hAnsi="Times New Roman" w:eastAsia="仿宋_GB2312" w:cs="Times New Roman"/>
                <w:b w:val="0"/>
                <w:bCs/>
                <w:i w:val="0"/>
                <w:sz w:val="24"/>
                <w:szCs w:val="22"/>
                <w:lang w:val="en-US" w:eastAsia="zh-CN"/>
              </w:rPr>
              <w:t>60</w:t>
            </w:r>
            <w:r>
              <w:rPr>
                <w:rFonts w:hint="default" w:ascii="Times New Roman" w:hAnsi="Times New Roman" w:eastAsia="仿宋_GB2312" w:cs="Times New Roman"/>
                <w:b w:val="0"/>
                <w:bCs/>
                <w:i w:val="0"/>
                <w:sz w:val="24"/>
                <w:szCs w:val="22"/>
                <w:lang w:val="en-US" w:eastAsia="zh-CN"/>
              </w:rPr>
              <w:t>学时</w:t>
            </w:r>
            <w:r>
              <w:rPr>
                <w:rFonts w:hint="eastAsia" w:ascii="Times New Roman" w:hAnsi="Times New Roman" w:eastAsia="仿宋_GB2312" w:cs="Times New Roman"/>
                <w:b w:val="0"/>
                <w:bCs/>
                <w:i w:val="0"/>
                <w:sz w:val="24"/>
                <w:szCs w:val="22"/>
                <w:lang w:val="en-US" w:eastAsia="zh-CN"/>
              </w:rPr>
              <w:t>（45分钟/学时）</w:t>
            </w:r>
            <w:r>
              <w:rPr>
                <w:rFonts w:hint="default" w:ascii="Times New Roman" w:hAnsi="Times New Roman" w:eastAsia="仿宋_GB2312" w:cs="Times New Roman"/>
                <w:b w:val="0"/>
                <w:bCs/>
                <w:i w:val="0"/>
                <w:sz w:val="24"/>
                <w:szCs w:val="22"/>
                <w:lang w:val="en-US" w:eastAsia="zh-CN"/>
              </w:rPr>
              <w:t>的视频课程学习，平台自动记录学习时长与进度。</w:t>
            </w:r>
          </w:p>
        </w:tc>
        <w:tc>
          <w:tcPr>
            <w:tcW w:w="1136" w:type="dxa"/>
            <w:tcBorders>
              <w:top w:val="single" w:color="18A3E4" w:sz="6" w:space="0"/>
              <w:left w:val="single" w:color="A2DBF5" w:sz="6" w:space="0"/>
              <w:bottom w:val="single" w:color="A2DBF5" w:sz="6" w:space="0"/>
              <w:right w:val="single" w:color="A2DBF5" w:sz="6" w:space="0"/>
            </w:tcBorders>
            <w:shd w:val="clear" w:color="auto" w:fill="FFFFFF"/>
            <w:vAlign w:val="center"/>
          </w:tcPr>
          <w:p w14:paraId="67BE0D27">
            <w:pPr>
              <w:widowControl/>
              <w:snapToGrid w:val="0"/>
              <w:spacing w:line="240" w:lineRule="auto"/>
              <w:ind w:firstLine="0" w:firstLineChars="0"/>
              <w:jc w:val="center"/>
              <w:rPr>
                <w:rFonts w:hint="eastAsia" w:ascii="Times New Roman" w:hAnsi="Times New Roman" w:eastAsia="仿宋_GB2312" w:cs="Times New Roman"/>
                <w:b w:val="0"/>
                <w:i w:val="0"/>
                <w:color w:val="000000"/>
                <w:kern w:val="2"/>
                <w:sz w:val="24"/>
                <w:szCs w:val="22"/>
                <w:lang w:val="en-US" w:eastAsia="zh-CN" w:bidi="ar-SA"/>
              </w:rPr>
            </w:pPr>
            <w:r>
              <w:rPr>
                <w:rFonts w:hint="eastAsia" w:ascii="Times New Roman" w:hAnsi="Times New Roman" w:eastAsia="仿宋_GB2312" w:cs="Times New Roman"/>
                <w:b w:val="0"/>
                <w:i w:val="0"/>
                <w:color w:val="000000"/>
                <w:sz w:val="24"/>
                <w:szCs w:val="22"/>
                <w:lang w:val="en-US" w:eastAsia="zh-CN"/>
              </w:rPr>
              <w:t>5</w:t>
            </w:r>
            <w:r>
              <w:rPr>
                <w:rFonts w:hint="default" w:ascii="Times New Roman" w:hAnsi="Times New Roman" w:eastAsia="仿宋_GB2312" w:cs="Times New Roman"/>
                <w:b w:val="0"/>
                <w:i w:val="0"/>
                <w:color w:val="000000"/>
                <w:sz w:val="24"/>
                <w:szCs w:val="22"/>
              </w:rPr>
              <w:t>0</w:t>
            </w:r>
            <w:r>
              <w:rPr>
                <w:rFonts w:hint="eastAsia" w:ascii="Times New Roman" w:hAnsi="Times New Roman" w:eastAsia="仿宋_GB2312" w:cs="Times New Roman"/>
                <w:b w:val="0"/>
                <w:i w:val="0"/>
                <w:color w:val="000000"/>
                <w:sz w:val="24"/>
                <w:szCs w:val="22"/>
                <w:lang w:val="en-US" w:eastAsia="zh-CN"/>
              </w:rPr>
              <w:t>%</w:t>
            </w:r>
          </w:p>
        </w:tc>
      </w:tr>
      <w:tr w14:paraId="1D3F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blHeader/>
          <w:jc w:val="center"/>
        </w:trPr>
        <w:tc>
          <w:tcPr>
            <w:tcW w:w="1262" w:type="dxa"/>
            <w:vMerge w:val="continue"/>
            <w:tcBorders>
              <w:top w:val="single" w:color="A2DBF5" w:sz="6" w:space="0"/>
              <w:left w:val="single" w:color="18A3E4" w:sz="6" w:space="0"/>
              <w:bottom w:val="single" w:color="A2DBF5" w:sz="6" w:space="0"/>
              <w:right w:val="single" w:color="18A3E4" w:sz="6" w:space="0"/>
            </w:tcBorders>
            <w:shd w:val="clear" w:color="auto" w:fill="FFFFFF"/>
            <w:vAlign w:val="center"/>
          </w:tcPr>
          <w:p w14:paraId="65C88C1D">
            <w:pPr>
              <w:snapToGrid/>
              <w:spacing w:line="240" w:lineRule="auto"/>
              <w:ind w:firstLine="0" w:firstLineChars="0"/>
              <w:contextualSpacing/>
              <w:jc w:val="center"/>
              <w:rPr>
                <w:rFonts w:hint="default" w:ascii="Times New Roman" w:hAnsi="Times New Roman" w:eastAsia="仿宋_GB2312" w:cs="Times New Roman"/>
                <w:b/>
                <w:bCs/>
                <w:i w:val="0"/>
                <w:color w:val="000000"/>
                <w:sz w:val="24"/>
                <w:szCs w:val="22"/>
              </w:rPr>
            </w:pPr>
          </w:p>
        </w:tc>
        <w:tc>
          <w:tcPr>
            <w:tcW w:w="6425" w:type="dxa"/>
            <w:tcBorders>
              <w:top w:val="single" w:color="A2DBF5" w:sz="6" w:space="0"/>
              <w:left w:val="single" w:color="18A3E4" w:sz="6" w:space="0"/>
              <w:bottom w:val="single" w:color="A2DBF5" w:sz="6" w:space="0"/>
              <w:right w:val="single" w:color="A2DBF5" w:sz="6" w:space="0"/>
            </w:tcBorders>
            <w:shd w:val="clear" w:color="auto" w:fill="FFFFFF"/>
            <w:vAlign w:val="center"/>
          </w:tcPr>
          <w:p w14:paraId="1D393136">
            <w:pPr>
              <w:keepNext w:val="0"/>
              <w:keepLines w:val="0"/>
              <w:pageBreakBefore w:val="0"/>
              <w:widowControl w:val="0"/>
              <w:kinsoku/>
              <w:wordWrap/>
              <w:overflowPunct/>
              <w:topLinePunct w:val="0"/>
              <w:autoSpaceDE/>
              <w:autoSpaceDN/>
              <w:bidi w:val="0"/>
              <w:adjustRightInd/>
              <w:snapToGrid w:val="0"/>
              <w:spacing w:line="240" w:lineRule="auto"/>
              <w:ind w:firstLine="241" w:firstLineChars="100"/>
              <w:contextualSpacing/>
              <w:textAlignment w:val="auto"/>
              <w:rPr>
                <w:rFonts w:hint="default" w:ascii="Times New Roman" w:hAnsi="Times New Roman" w:eastAsia="等线" w:cs="Times New Roman"/>
                <w:b w:val="0"/>
                <w:i w:val="0"/>
                <w:color w:val="000000"/>
                <w:sz w:val="21"/>
                <w:szCs w:val="24"/>
              </w:rPr>
            </w:pPr>
            <w:r>
              <w:rPr>
                <w:rFonts w:hint="eastAsia" w:ascii="Times New Roman" w:hAnsi="Times New Roman" w:eastAsia="仿宋_GB2312" w:cs="Times New Roman"/>
                <w:b/>
                <w:bCs/>
                <w:i w:val="0"/>
                <w:color w:val="000000"/>
                <w:kern w:val="0"/>
                <w:sz w:val="24"/>
                <w:szCs w:val="24"/>
                <w:lang w:val="en-US" w:eastAsia="zh-CN"/>
              </w:rPr>
              <w:t>2</w:t>
            </w:r>
            <w:r>
              <w:rPr>
                <w:rFonts w:hint="default" w:ascii="Times New Roman" w:hAnsi="Times New Roman" w:eastAsia="仿宋_GB2312" w:cs="Times New Roman"/>
                <w:b/>
                <w:bCs/>
                <w:i w:val="0"/>
                <w:color w:val="000000"/>
                <w:kern w:val="0"/>
                <w:sz w:val="24"/>
                <w:szCs w:val="24"/>
                <w:lang w:val="en-US" w:eastAsia="zh-CN"/>
              </w:rPr>
              <w:t>.</w:t>
            </w:r>
            <w:r>
              <w:rPr>
                <w:rFonts w:hint="default" w:ascii="Times New Roman" w:hAnsi="Times New Roman" w:eastAsia="仿宋_GB2312" w:cs="Times New Roman"/>
                <w:b/>
                <w:bCs/>
                <w:i w:val="0"/>
                <w:color w:val="000000"/>
                <w:kern w:val="0"/>
                <w:sz w:val="24"/>
                <w:szCs w:val="24"/>
              </w:rPr>
              <w:t>主题研讨</w:t>
            </w:r>
            <w:r>
              <w:rPr>
                <w:rFonts w:hint="default" w:ascii="Times New Roman" w:hAnsi="Times New Roman" w:eastAsia="仿宋_GB2312" w:cs="Times New Roman"/>
                <w:b w:val="0"/>
                <w:bCs/>
                <w:i w:val="0"/>
                <w:color w:val="000000"/>
                <w:kern w:val="0"/>
                <w:sz w:val="24"/>
                <w:szCs w:val="24"/>
                <w:lang w:eastAsia="zh-CN"/>
              </w:rPr>
              <w:t>。</w:t>
            </w:r>
            <w:r>
              <w:rPr>
                <w:rFonts w:hint="default" w:ascii="Times New Roman" w:hAnsi="Times New Roman" w:eastAsia="仿宋_GB2312" w:cs="Times New Roman"/>
                <w:b w:val="0"/>
                <w:i w:val="0"/>
                <w:color w:val="000000"/>
                <w:kern w:val="0"/>
                <w:sz w:val="24"/>
                <w:szCs w:val="24"/>
                <w:lang w:val="en-US" w:eastAsia="zh-CN"/>
              </w:rPr>
              <w:t>培训期间，参训学员需在班级管理员的组织下，结合研讨主题和岗位工作实际进行主题研讨，最少发帖2条。</w:t>
            </w:r>
          </w:p>
        </w:tc>
        <w:tc>
          <w:tcPr>
            <w:tcW w:w="1136" w:type="dxa"/>
            <w:tcBorders>
              <w:top w:val="single" w:color="A2DBF5" w:sz="6" w:space="0"/>
              <w:left w:val="single" w:color="A2DBF5" w:sz="6" w:space="0"/>
              <w:bottom w:val="single" w:color="A2DBF5" w:sz="6" w:space="0"/>
              <w:right w:val="single" w:color="A2DBF5" w:sz="6" w:space="0"/>
            </w:tcBorders>
            <w:shd w:val="clear" w:color="auto" w:fill="FFFFFF"/>
            <w:vAlign w:val="center"/>
          </w:tcPr>
          <w:p w14:paraId="7260B757">
            <w:pPr>
              <w:widowControl/>
              <w:snapToGrid w:val="0"/>
              <w:spacing w:line="240" w:lineRule="auto"/>
              <w:ind w:firstLine="0" w:firstLineChars="0"/>
              <w:jc w:val="center"/>
              <w:rPr>
                <w:rFonts w:hint="default" w:ascii="Times New Roman" w:hAnsi="Times New Roman" w:eastAsia="仿宋_GB2312" w:cs="Times New Roman"/>
                <w:b w:val="0"/>
                <w:i w:val="0"/>
                <w:color w:val="000000"/>
                <w:sz w:val="24"/>
                <w:szCs w:val="22"/>
              </w:rPr>
            </w:pPr>
            <w:r>
              <w:rPr>
                <w:rFonts w:hint="eastAsia" w:ascii="Times New Roman" w:hAnsi="Times New Roman" w:eastAsia="仿宋_GB2312" w:cs="Times New Roman"/>
                <w:b w:val="0"/>
                <w:i w:val="0"/>
                <w:color w:val="000000"/>
                <w:sz w:val="24"/>
                <w:szCs w:val="22"/>
                <w:lang w:val="en-US" w:eastAsia="zh-CN"/>
              </w:rPr>
              <w:t>3</w:t>
            </w:r>
            <w:r>
              <w:rPr>
                <w:rFonts w:hint="default" w:ascii="Times New Roman" w:hAnsi="Times New Roman" w:eastAsia="仿宋_GB2312" w:cs="Times New Roman"/>
                <w:b w:val="0"/>
                <w:i w:val="0"/>
                <w:color w:val="000000"/>
                <w:sz w:val="24"/>
                <w:szCs w:val="22"/>
                <w:lang w:val="en-US" w:eastAsia="zh-CN"/>
              </w:rPr>
              <w:t>0</w:t>
            </w:r>
            <w:r>
              <w:rPr>
                <w:rFonts w:hint="eastAsia" w:ascii="Times New Roman" w:hAnsi="Times New Roman" w:eastAsia="仿宋_GB2312" w:cs="Times New Roman"/>
                <w:b w:val="0"/>
                <w:i w:val="0"/>
                <w:color w:val="000000"/>
                <w:sz w:val="24"/>
                <w:szCs w:val="22"/>
                <w:lang w:val="en-US" w:eastAsia="zh-CN"/>
              </w:rPr>
              <w:t>%</w:t>
            </w:r>
          </w:p>
        </w:tc>
      </w:tr>
      <w:tr w14:paraId="7B25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blHeader/>
          <w:jc w:val="center"/>
        </w:trPr>
        <w:tc>
          <w:tcPr>
            <w:tcW w:w="1262" w:type="dxa"/>
            <w:tcBorders>
              <w:top w:val="single" w:color="A2DBF5" w:sz="6" w:space="0"/>
              <w:left w:val="single" w:color="18A3E4" w:sz="6" w:space="0"/>
              <w:bottom w:val="single" w:color="A2DBF5" w:sz="6" w:space="0"/>
              <w:right w:val="single" w:color="18A3E4" w:sz="6" w:space="0"/>
            </w:tcBorders>
            <w:shd w:val="clear" w:color="auto" w:fill="FFFFFF"/>
            <w:vAlign w:val="center"/>
          </w:tcPr>
          <w:p w14:paraId="3D24D100">
            <w:pPr>
              <w:snapToGrid/>
              <w:spacing w:line="240" w:lineRule="auto"/>
              <w:ind w:firstLine="0" w:firstLineChars="0"/>
              <w:contextualSpacing/>
              <w:jc w:val="center"/>
              <w:rPr>
                <w:rFonts w:hint="default" w:ascii="Times New Roman" w:hAnsi="Times New Roman" w:eastAsia="仿宋_GB2312" w:cs="Times New Roman"/>
                <w:b/>
                <w:bCs/>
                <w:i w:val="0"/>
                <w:color w:val="000000"/>
                <w:sz w:val="24"/>
                <w:szCs w:val="22"/>
              </w:rPr>
            </w:pPr>
            <w:r>
              <w:rPr>
                <w:rFonts w:hint="default" w:ascii="Times New Roman" w:hAnsi="Times New Roman" w:eastAsia="仿宋_GB2312" w:cs="Times New Roman"/>
                <w:b/>
                <w:bCs/>
                <w:i w:val="0"/>
                <w:color w:val="000000"/>
                <w:sz w:val="24"/>
                <w:szCs w:val="22"/>
              </w:rPr>
              <w:t>结业考核</w:t>
            </w:r>
          </w:p>
        </w:tc>
        <w:tc>
          <w:tcPr>
            <w:tcW w:w="6425" w:type="dxa"/>
            <w:tcBorders>
              <w:top w:val="single" w:color="A2DBF5" w:sz="6" w:space="0"/>
              <w:left w:val="single" w:color="18A3E4" w:sz="6" w:space="0"/>
              <w:bottom w:val="single" w:color="A2DBF5" w:sz="6" w:space="0"/>
              <w:right w:val="single" w:color="A2DBF5" w:sz="6" w:space="0"/>
            </w:tcBorders>
            <w:shd w:val="clear" w:color="auto" w:fill="FFFFFF"/>
            <w:vAlign w:val="center"/>
          </w:tcPr>
          <w:p w14:paraId="3EE8F29D">
            <w:pPr>
              <w:keepNext w:val="0"/>
              <w:keepLines w:val="0"/>
              <w:pageBreakBefore w:val="0"/>
              <w:widowControl w:val="0"/>
              <w:kinsoku/>
              <w:wordWrap/>
              <w:overflowPunct/>
              <w:topLinePunct w:val="0"/>
              <w:autoSpaceDE/>
              <w:autoSpaceDN/>
              <w:bidi w:val="0"/>
              <w:adjustRightInd/>
              <w:snapToGrid w:val="0"/>
              <w:spacing w:line="240" w:lineRule="auto"/>
              <w:ind w:firstLine="241" w:firstLineChars="100"/>
              <w:textAlignment w:val="auto"/>
              <w:rPr>
                <w:rFonts w:hint="default" w:ascii="Times New Roman" w:hAnsi="Times New Roman" w:eastAsia="仿宋_GB2312" w:cs="Times New Roman"/>
                <w:b w:val="0"/>
                <w:i w:val="0"/>
                <w:color w:val="000000"/>
                <w:sz w:val="24"/>
                <w:szCs w:val="22"/>
              </w:rPr>
            </w:pPr>
            <w:r>
              <w:rPr>
                <w:rFonts w:hint="eastAsia" w:ascii="Times New Roman" w:hAnsi="Times New Roman" w:eastAsia="仿宋_GB2312" w:cs="Times New Roman"/>
                <w:b/>
                <w:bCs w:val="0"/>
                <w:i w:val="0"/>
                <w:color w:val="000000"/>
                <w:sz w:val="24"/>
                <w:szCs w:val="21"/>
                <w:lang w:val="en-US" w:eastAsia="zh-CN"/>
              </w:rPr>
              <w:t>3</w:t>
            </w:r>
            <w:r>
              <w:rPr>
                <w:rFonts w:hint="default" w:ascii="Times New Roman" w:hAnsi="Times New Roman" w:eastAsia="仿宋_GB2312" w:cs="Times New Roman"/>
                <w:b/>
                <w:bCs w:val="0"/>
                <w:i w:val="0"/>
                <w:color w:val="000000"/>
                <w:sz w:val="24"/>
                <w:szCs w:val="21"/>
                <w:lang w:val="en-US" w:eastAsia="zh-CN"/>
              </w:rPr>
              <w:t>.</w:t>
            </w:r>
            <w:r>
              <w:rPr>
                <w:rFonts w:hint="default" w:ascii="Times New Roman" w:hAnsi="Times New Roman" w:eastAsia="仿宋_GB2312" w:cs="Times New Roman"/>
                <w:b/>
                <w:bCs w:val="0"/>
                <w:i w:val="0"/>
                <w:color w:val="000000"/>
                <w:sz w:val="24"/>
                <w:szCs w:val="21"/>
              </w:rPr>
              <w:t>研修总结</w:t>
            </w:r>
            <w:r>
              <w:rPr>
                <w:rFonts w:hint="default" w:ascii="Times New Roman" w:hAnsi="Times New Roman" w:eastAsia="仿宋_GB2312" w:cs="Times New Roman"/>
                <w:b w:val="0"/>
                <w:i w:val="0"/>
                <w:color w:val="000000"/>
                <w:sz w:val="24"/>
                <w:szCs w:val="21"/>
                <w:lang w:eastAsia="zh-CN"/>
              </w:rPr>
              <w:t>。学员就整个培训过程的心得体会、能力提升及未来规划撰写一份总结报告</w:t>
            </w:r>
            <w:r>
              <w:rPr>
                <w:rFonts w:hint="eastAsia" w:ascii="Times New Roman" w:hAnsi="Times New Roman" w:eastAsia="仿宋_GB2312" w:cs="Times New Roman"/>
                <w:b w:val="0"/>
                <w:i w:val="0"/>
                <w:color w:val="000000"/>
                <w:sz w:val="24"/>
                <w:szCs w:val="21"/>
                <w:lang w:eastAsia="zh-CN"/>
              </w:rPr>
              <w:t>，</w:t>
            </w:r>
            <w:r>
              <w:rPr>
                <w:rFonts w:hint="default" w:ascii="Times New Roman" w:hAnsi="Times New Roman" w:eastAsia="仿宋_GB2312" w:cs="Times New Roman"/>
                <w:b w:val="0"/>
                <w:i w:val="0"/>
                <w:color w:val="000000"/>
                <w:sz w:val="24"/>
                <w:szCs w:val="21"/>
                <w:lang w:eastAsia="zh-CN"/>
              </w:rPr>
              <w:t>不少于</w:t>
            </w:r>
            <w:r>
              <w:rPr>
                <w:rFonts w:hint="eastAsia" w:ascii="Times New Roman" w:hAnsi="Times New Roman" w:eastAsia="仿宋_GB2312" w:cs="Times New Roman"/>
                <w:b w:val="0"/>
                <w:i w:val="0"/>
                <w:color w:val="000000"/>
                <w:sz w:val="24"/>
                <w:szCs w:val="21"/>
                <w:lang w:val="en-US" w:eastAsia="zh-CN"/>
              </w:rPr>
              <w:t>10</w:t>
            </w:r>
            <w:r>
              <w:rPr>
                <w:rFonts w:hint="default" w:ascii="Times New Roman" w:hAnsi="Times New Roman" w:eastAsia="仿宋_GB2312" w:cs="Times New Roman"/>
                <w:b w:val="0"/>
                <w:i w:val="0"/>
                <w:color w:val="000000"/>
                <w:sz w:val="24"/>
                <w:szCs w:val="21"/>
                <w:lang w:eastAsia="zh-CN"/>
              </w:rPr>
              <w:t>00字。</w:t>
            </w:r>
          </w:p>
        </w:tc>
        <w:tc>
          <w:tcPr>
            <w:tcW w:w="1136" w:type="dxa"/>
            <w:tcBorders>
              <w:top w:val="single" w:color="A2DBF5" w:sz="6" w:space="0"/>
              <w:left w:val="single" w:color="A2DBF5" w:sz="6" w:space="0"/>
              <w:bottom w:val="single" w:color="A2DBF5" w:sz="6" w:space="0"/>
              <w:right w:val="single" w:color="A2DBF5" w:sz="6" w:space="0"/>
            </w:tcBorders>
            <w:shd w:val="clear" w:color="auto" w:fill="FFFFFF"/>
            <w:vAlign w:val="center"/>
          </w:tcPr>
          <w:p w14:paraId="66F7C3FE">
            <w:pPr>
              <w:widowControl/>
              <w:snapToGrid w:val="0"/>
              <w:spacing w:line="240" w:lineRule="auto"/>
              <w:ind w:firstLine="0" w:firstLineChars="0"/>
              <w:jc w:val="center"/>
              <w:rPr>
                <w:rFonts w:hint="default" w:ascii="Times New Roman" w:hAnsi="Times New Roman" w:eastAsia="仿宋_GB2312" w:cs="Times New Roman"/>
                <w:b w:val="0"/>
                <w:i w:val="0"/>
                <w:color w:val="000000"/>
                <w:sz w:val="24"/>
                <w:szCs w:val="22"/>
              </w:rPr>
            </w:pPr>
            <w:r>
              <w:rPr>
                <w:rFonts w:hint="eastAsia" w:ascii="Times New Roman" w:hAnsi="Times New Roman" w:eastAsia="仿宋_GB2312" w:cs="Times New Roman"/>
                <w:b w:val="0"/>
                <w:i w:val="0"/>
                <w:color w:val="000000"/>
                <w:sz w:val="24"/>
                <w:szCs w:val="22"/>
                <w:lang w:val="en-US" w:eastAsia="zh-CN"/>
              </w:rPr>
              <w:t>2</w:t>
            </w:r>
            <w:r>
              <w:rPr>
                <w:rFonts w:hint="default" w:ascii="Times New Roman" w:hAnsi="Times New Roman" w:eastAsia="仿宋_GB2312" w:cs="Times New Roman"/>
                <w:b w:val="0"/>
                <w:i w:val="0"/>
                <w:color w:val="000000"/>
                <w:sz w:val="24"/>
                <w:szCs w:val="22"/>
              </w:rPr>
              <w:t>0</w:t>
            </w:r>
            <w:r>
              <w:rPr>
                <w:rFonts w:hint="eastAsia" w:ascii="Times New Roman" w:hAnsi="Times New Roman" w:eastAsia="仿宋_GB2312" w:cs="Times New Roman"/>
                <w:b w:val="0"/>
                <w:i w:val="0"/>
                <w:color w:val="000000"/>
                <w:sz w:val="24"/>
                <w:szCs w:val="22"/>
                <w:lang w:val="en-US" w:eastAsia="zh-CN"/>
              </w:rPr>
              <w:t>%</w:t>
            </w:r>
          </w:p>
        </w:tc>
      </w:tr>
      <w:tr w14:paraId="1546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blHeader/>
          <w:jc w:val="center"/>
        </w:trPr>
        <w:tc>
          <w:tcPr>
            <w:tcW w:w="8823" w:type="dxa"/>
            <w:gridSpan w:val="3"/>
            <w:tcBorders>
              <w:top w:val="single" w:color="A2DBF5" w:sz="6" w:space="0"/>
              <w:left w:val="single" w:color="18A3E4" w:sz="6" w:space="0"/>
              <w:bottom w:val="single" w:color="18A3E4" w:sz="6" w:space="0"/>
              <w:right w:val="single" w:color="18A3E4" w:sz="6" w:space="0"/>
            </w:tcBorders>
            <w:shd w:val="clear" w:color="auto" w:fill="FFFFFF"/>
            <w:vAlign w:val="center"/>
          </w:tcPr>
          <w:p w14:paraId="789C99DB">
            <w:pPr>
              <w:keepNext w:val="0"/>
              <w:keepLines w:val="0"/>
              <w:pageBreakBefore w:val="0"/>
              <w:widowControl w:val="0"/>
              <w:kinsoku/>
              <w:wordWrap/>
              <w:overflowPunct/>
              <w:topLinePunct w:val="0"/>
              <w:autoSpaceDE/>
              <w:autoSpaceDN/>
              <w:bidi w:val="0"/>
              <w:adjustRightInd/>
              <w:snapToGrid w:val="0"/>
              <w:spacing w:line="240" w:lineRule="auto"/>
              <w:ind w:firstLine="240" w:firstLineChars="100"/>
              <w:jc w:val="left"/>
              <w:textAlignment w:val="auto"/>
              <w:rPr>
                <w:rFonts w:hint="default" w:ascii="Times New Roman" w:hAnsi="Times New Roman" w:eastAsia="仿宋_GB2312" w:cs="Times New Roman"/>
                <w:b w:val="0"/>
                <w:i w:val="0"/>
                <w:color w:val="000000"/>
                <w:sz w:val="24"/>
                <w:szCs w:val="22"/>
              </w:rPr>
            </w:pPr>
            <w:r>
              <w:rPr>
                <w:rFonts w:hint="default" w:ascii="Times New Roman" w:hAnsi="Times New Roman" w:eastAsia="仿宋_GB2312" w:cs="Times New Roman"/>
                <w:b w:val="0"/>
                <w:bCs/>
                <w:i w:val="0"/>
                <w:color w:val="000000"/>
                <w:sz w:val="24"/>
                <w:szCs w:val="22"/>
              </w:rPr>
              <w:t>说明：</w:t>
            </w:r>
            <w:r>
              <w:rPr>
                <w:rFonts w:hint="default" w:ascii="Times New Roman" w:hAnsi="Times New Roman" w:eastAsia="仿宋_GB2312" w:cs="Times New Roman"/>
                <w:b w:val="0"/>
                <w:i w:val="0"/>
                <w:color w:val="000000"/>
                <w:sz w:val="24"/>
                <w:szCs w:val="22"/>
              </w:rPr>
              <w:t>完成各项培训考核要求</w:t>
            </w:r>
            <w:r>
              <w:rPr>
                <w:rFonts w:hint="eastAsia" w:ascii="Times New Roman" w:hAnsi="Times New Roman" w:eastAsia="仿宋_GB2312" w:cs="Times New Roman"/>
                <w:b w:val="0"/>
                <w:i w:val="0"/>
                <w:color w:val="000000"/>
                <w:sz w:val="24"/>
                <w:szCs w:val="22"/>
                <w:lang w:val="en-US" w:eastAsia="zh-CN"/>
              </w:rPr>
              <w:t>且总成绩达到90分</w:t>
            </w:r>
            <w:r>
              <w:rPr>
                <w:rFonts w:hint="default" w:ascii="Times New Roman" w:hAnsi="Times New Roman" w:eastAsia="仿宋_GB2312" w:cs="Times New Roman"/>
                <w:b w:val="0"/>
                <w:i w:val="0"/>
                <w:color w:val="000000"/>
                <w:sz w:val="24"/>
                <w:szCs w:val="22"/>
              </w:rPr>
              <w:t>的学员可在线打印学时证明，学习时长可计入继续教育培训学时。</w:t>
            </w:r>
          </w:p>
        </w:tc>
      </w:tr>
    </w:tbl>
    <w:p w14:paraId="66B30CCC">
      <w:pPr>
        <w:keepNext/>
        <w:keepLines/>
        <w:pageBreakBefore w:val="0"/>
        <w:widowControl w:val="0"/>
        <w:kinsoku/>
        <w:wordWrap/>
        <w:overflowPunct/>
        <w:topLinePunct w:val="0"/>
        <w:autoSpaceDE/>
        <w:autoSpaceDN/>
        <w:bidi w:val="0"/>
        <w:adjustRightInd/>
        <w:snapToGrid w:val="0"/>
        <w:spacing w:line="580" w:lineRule="exact"/>
        <w:ind w:firstLine="640" w:firstLineChars="200"/>
        <w:jc w:val="both"/>
        <w:textAlignment w:val="auto"/>
        <w:outlineLvl w:val="0"/>
        <w:rPr>
          <w:rFonts w:hint="eastAsia" w:ascii="Calibri" w:hAnsi="Calibri" w:eastAsia="黑体" w:cs="Times New Roman"/>
          <w:bCs/>
          <w:kern w:val="44"/>
          <w:sz w:val="32"/>
          <w:szCs w:val="32"/>
          <w:lang w:val="en-US" w:eastAsia="zh-CN" w:bidi="ar-SA"/>
        </w:rPr>
      </w:pPr>
      <w:r>
        <w:rPr>
          <w:rFonts w:hint="eastAsia" w:ascii="Calibri" w:hAnsi="Calibri" w:eastAsia="黑体" w:cs="Times New Roman"/>
          <w:bCs/>
          <w:kern w:val="44"/>
          <w:sz w:val="32"/>
          <w:szCs w:val="32"/>
          <w:lang w:val="en-US" w:eastAsia="zh-CN" w:bidi="ar-SA"/>
        </w:rPr>
        <w:t>六、组织实施</w:t>
      </w:r>
    </w:p>
    <w:p w14:paraId="4723E3C1">
      <w:pPr>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本次培训由淮南联合大学提供培训学员名单，统一报名，组织开展培训活动。由中国教育干部网络学院指派专职老师负责指导教学实施，掌握学员学习进度，督促学员完成学习任务，保障本校培训工作顺利进行。</w:t>
      </w:r>
    </w:p>
    <w:p w14:paraId="5AD4F1B0">
      <w:pPr>
        <w:keepNext w:val="0"/>
        <w:keepLines w:val="0"/>
        <w:pageBreakBefore w:val="0"/>
        <w:widowControl w:val="0"/>
        <w:kinsoku/>
        <w:wordWrap/>
        <w:overflowPunct/>
        <w:topLinePunct w:val="0"/>
        <w:autoSpaceDE/>
        <w:autoSpaceDN/>
        <w:bidi w:val="0"/>
        <w:adjustRightInd/>
        <w:snapToGrid w:val="0"/>
        <w:spacing w:line="580" w:lineRule="exact"/>
        <w:ind w:left="1796" w:leftChars="304" w:hanging="1158" w:hangingChars="362"/>
        <w:jc w:val="left"/>
        <w:textAlignment w:val="auto"/>
        <w:rPr>
          <w:rFonts w:hint="default" w:ascii="Times New Roman" w:hAnsi="Times New Roman" w:eastAsia="仿宋_GB2312" w:cs="Times New Roman"/>
          <w:color w:val="000000" w:themeColor="text1"/>
          <w:sz w:val="32"/>
          <w:szCs w:val="32"/>
          <w:highlight w:val="none"/>
          <w:shd w:val="clear"/>
          <w:lang w:val="en-US" w:eastAsia="zh-CN"/>
          <w14:textFill>
            <w14:solidFill>
              <w14:schemeClr w14:val="tx1"/>
            </w14:solidFill>
          </w14:textFill>
        </w:rPr>
      </w:pPr>
      <w:bookmarkStart w:id="0" w:name="_GoBack"/>
      <w:bookmarkEnd w:id="0"/>
    </w:p>
    <w:p w14:paraId="0D079F58">
      <w:pPr>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br w:type="page"/>
      </w:r>
    </w:p>
    <w:p w14:paraId="7FDC162D">
      <w:pPr>
        <w:numPr>
          <w:ilvl w:val="0"/>
          <w:numId w:val="0"/>
        </w:numPr>
        <w:snapToGrid w:val="0"/>
        <w:spacing w:line="360" w:lineRule="auto"/>
        <w:ind w:left="469" w:leftChars="-295" w:hanging="1088" w:hangingChars="34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w:t>
      </w:r>
    </w:p>
    <w:p w14:paraId="798345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方正小标宋简体" w:hAnsi="方正小标宋简体" w:eastAsia="方正小标宋简体" w:cs="方正小标宋简体"/>
          <w:sz w:val="40"/>
          <w:szCs w:val="40"/>
          <w:lang w:val="en-US" w:eastAsia="zh-CN"/>
        </w:rPr>
      </w:pPr>
      <w:r>
        <w:rPr>
          <w:rFonts w:hint="eastAsia" w:ascii="Times New Roman" w:hAnsi="Times New Roman" w:eastAsia="方正小标宋简体" w:cs="方正小标宋简体"/>
          <w:sz w:val="40"/>
          <w:szCs w:val="40"/>
          <w:lang w:val="en-US" w:eastAsia="zh-CN"/>
        </w:rPr>
        <w:t>2026年专业技术人员继续教育暨数字素养提升专题网络培训课程列表</w:t>
      </w:r>
    </w:p>
    <w:tbl>
      <w:tblPr>
        <w:tblStyle w:val="8"/>
        <w:tblW w:w="5437" w:type="pct"/>
        <w:tblInd w:w="-3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7"/>
        <w:gridCol w:w="3336"/>
        <w:gridCol w:w="1111"/>
        <w:gridCol w:w="2319"/>
        <w:gridCol w:w="1036"/>
      </w:tblGrid>
      <w:tr w14:paraId="22A5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tcBorders>
              <w:top w:val="single" w:color="16A1E2" w:sz="6" w:space="0"/>
              <w:left w:val="single" w:color="16A1E2" w:sz="6" w:space="0"/>
              <w:bottom w:val="single" w:color="16A1E2" w:sz="6" w:space="0"/>
              <w:right w:val="single" w:color="9FDAF6" w:sz="6" w:space="0"/>
            </w:tcBorders>
            <w:shd w:val="clear" w:color="auto" w:fill="16A1E2"/>
            <w:vAlign w:val="center"/>
          </w:tcPr>
          <w:p w14:paraId="329FE336">
            <w:pPr>
              <w:keepNext w:val="0"/>
              <w:keepLines w:val="0"/>
              <w:widowControl/>
              <w:suppressLineNumbers w:val="0"/>
              <w:jc w:val="center"/>
              <w:textAlignment w:val="center"/>
              <w:rPr>
                <w:rFonts w:hint="eastAsia" w:ascii="黑体" w:hAnsi="黑体" w:eastAsia="黑体" w:cs="黑体"/>
                <w:b/>
                <w:bCs/>
                <w:i w:val="0"/>
                <w:iCs w:val="0"/>
                <w:color w:val="FFFFFF"/>
                <w:sz w:val="24"/>
                <w:szCs w:val="24"/>
                <w:u w:val="none"/>
              </w:rPr>
            </w:pPr>
            <w:r>
              <w:rPr>
                <w:rFonts w:hint="eastAsia" w:ascii="黑体" w:hAnsi="黑体" w:eastAsia="黑体" w:cs="黑体"/>
                <w:b/>
                <w:bCs/>
                <w:i w:val="0"/>
                <w:iCs w:val="0"/>
                <w:color w:val="FFFFFF"/>
                <w:kern w:val="0"/>
                <w:sz w:val="24"/>
                <w:szCs w:val="24"/>
                <w:u w:val="none"/>
                <w:lang w:val="en-US" w:eastAsia="zh-CN" w:bidi="ar"/>
              </w:rPr>
              <w:t>课程模块</w:t>
            </w:r>
          </w:p>
        </w:tc>
        <w:tc>
          <w:tcPr>
            <w:tcW w:w="1847" w:type="pct"/>
            <w:tcBorders>
              <w:top w:val="single" w:color="16A1E2" w:sz="6" w:space="0"/>
              <w:left w:val="single" w:color="9FDAF6" w:sz="6" w:space="0"/>
              <w:bottom w:val="single" w:color="16A1E2" w:sz="6" w:space="0"/>
              <w:right w:val="single" w:color="9FDAF6" w:sz="6" w:space="0"/>
            </w:tcBorders>
            <w:shd w:val="clear" w:color="auto" w:fill="16A1E2"/>
            <w:vAlign w:val="center"/>
          </w:tcPr>
          <w:p w14:paraId="3D57F27B">
            <w:pPr>
              <w:keepNext w:val="0"/>
              <w:keepLines w:val="0"/>
              <w:widowControl/>
              <w:suppressLineNumbers w:val="0"/>
              <w:jc w:val="center"/>
              <w:textAlignment w:val="center"/>
              <w:rPr>
                <w:rFonts w:hint="eastAsia" w:ascii="黑体" w:hAnsi="黑体" w:eastAsia="黑体" w:cs="黑体"/>
                <w:b/>
                <w:bCs/>
                <w:i w:val="0"/>
                <w:iCs w:val="0"/>
                <w:color w:val="FFFFFF"/>
                <w:sz w:val="24"/>
                <w:szCs w:val="24"/>
                <w:u w:val="none"/>
              </w:rPr>
            </w:pPr>
            <w:r>
              <w:rPr>
                <w:rFonts w:hint="eastAsia" w:ascii="黑体" w:hAnsi="黑体" w:eastAsia="黑体" w:cs="黑体"/>
                <w:b/>
                <w:bCs/>
                <w:i w:val="0"/>
                <w:iCs w:val="0"/>
                <w:color w:val="FFFFFF"/>
                <w:kern w:val="0"/>
                <w:sz w:val="24"/>
                <w:szCs w:val="24"/>
                <w:u w:val="none"/>
                <w:lang w:val="en-US" w:eastAsia="zh-CN" w:bidi="ar"/>
              </w:rPr>
              <w:t>课程名称</w:t>
            </w:r>
          </w:p>
        </w:tc>
        <w:tc>
          <w:tcPr>
            <w:tcW w:w="615" w:type="pct"/>
            <w:tcBorders>
              <w:top w:val="single" w:color="16A1E2" w:sz="6" w:space="0"/>
              <w:left w:val="single" w:color="9FDAF6" w:sz="6" w:space="0"/>
              <w:bottom w:val="single" w:color="16A1E2" w:sz="6" w:space="0"/>
              <w:right w:val="single" w:color="9FDAF6" w:sz="6" w:space="0"/>
            </w:tcBorders>
            <w:shd w:val="clear" w:color="auto" w:fill="16A1E2"/>
            <w:vAlign w:val="center"/>
          </w:tcPr>
          <w:p w14:paraId="2F1A2774">
            <w:pPr>
              <w:keepNext w:val="0"/>
              <w:keepLines w:val="0"/>
              <w:widowControl/>
              <w:suppressLineNumbers w:val="0"/>
              <w:jc w:val="center"/>
              <w:textAlignment w:val="center"/>
              <w:rPr>
                <w:rFonts w:hint="eastAsia" w:ascii="黑体" w:hAnsi="黑体" w:eastAsia="黑体" w:cs="黑体"/>
                <w:b/>
                <w:bCs/>
                <w:i w:val="0"/>
                <w:iCs w:val="0"/>
                <w:color w:val="FFFFFF"/>
                <w:sz w:val="24"/>
                <w:szCs w:val="24"/>
                <w:u w:val="none"/>
              </w:rPr>
            </w:pPr>
            <w:r>
              <w:rPr>
                <w:rFonts w:hint="eastAsia" w:ascii="黑体" w:hAnsi="黑体" w:eastAsia="黑体" w:cs="黑体"/>
                <w:b/>
                <w:bCs/>
                <w:i w:val="0"/>
                <w:iCs w:val="0"/>
                <w:color w:val="FFFFFF"/>
                <w:kern w:val="0"/>
                <w:sz w:val="24"/>
                <w:szCs w:val="24"/>
                <w:u w:val="none"/>
                <w:lang w:val="en-US" w:eastAsia="zh-CN" w:bidi="ar"/>
              </w:rPr>
              <w:t>主讲人</w:t>
            </w:r>
          </w:p>
        </w:tc>
        <w:tc>
          <w:tcPr>
            <w:tcW w:w="1284" w:type="pct"/>
            <w:tcBorders>
              <w:top w:val="single" w:color="16A1E2" w:sz="6" w:space="0"/>
              <w:left w:val="single" w:color="9FDAF6" w:sz="6" w:space="0"/>
              <w:bottom w:val="single" w:color="16A1E2" w:sz="6" w:space="0"/>
              <w:right w:val="single" w:color="9FDAF6" w:sz="6" w:space="0"/>
            </w:tcBorders>
            <w:shd w:val="clear" w:color="auto" w:fill="16A1E2"/>
            <w:vAlign w:val="center"/>
          </w:tcPr>
          <w:p w14:paraId="6B1BEA42">
            <w:pPr>
              <w:keepNext w:val="0"/>
              <w:keepLines w:val="0"/>
              <w:widowControl/>
              <w:suppressLineNumbers w:val="0"/>
              <w:jc w:val="center"/>
              <w:textAlignment w:val="center"/>
              <w:rPr>
                <w:rFonts w:hint="eastAsia" w:ascii="黑体" w:hAnsi="黑体" w:eastAsia="黑体" w:cs="黑体"/>
                <w:b/>
                <w:bCs/>
                <w:i w:val="0"/>
                <w:iCs w:val="0"/>
                <w:color w:val="FFFFFF"/>
                <w:sz w:val="24"/>
                <w:szCs w:val="24"/>
                <w:u w:val="none"/>
              </w:rPr>
            </w:pPr>
            <w:r>
              <w:rPr>
                <w:rFonts w:hint="eastAsia" w:ascii="黑体" w:hAnsi="黑体" w:eastAsia="黑体" w:cs="黑体"/>
                <w:b/>
                <w:bCs/>
                <w:i w:val="0"/>
                <w:iCs w:val="0"/>
                <w:color w:val="FFFFFF"/>
                <w:kern w:val="0"/>
                <w:sz w:val="24"/>
                <w:szCs w:val="24"/>
                <w:u w:val="none"/>
                <w:lang w:val="en-US" w:eastAsia="zh-CN" w:bidi="ar"/>
              </w:rPr>
              <w:t>职称与单位</w:t>
            </w:r>
          </w:p>
        </w:tc>
        <w:tc>
          <w:tcPr>
            <w:tcW w:w="573" w:type="pct"/>
            <w:tcBorders>
              <w:top w:val="single" w:color="16A1E2" w:sz="6" w:space="0"/>
              <w:left w:val="single" w:color="9FDAF6" w:sz="6" w:space="0"/>
              <w:bottom w:val="single" w:color="16A1E2" w:sz="6" w:space="0"/>
              <w:right w:val="single" w:color="16A1E2" w:sz="6" w:space="0"/>
            </w:tcBorders>
            <w:shd w:val="clear" w:color="auto" w:fill="16A1E2"/>
            <w:vAlign w:val="center"/>
          </w:tcPr>
          <w:p w14:paraId="5115C615">
            <w:pPr>
              <w:keepNext w:val="0"/>
              <w:keepLines w:val="0"/>
              <w:widowControl/>
              <w:suppressLineNumbers w:val="0"/>
              <w:jc w:val="center"/>
              <w:textAlignment w:val="center"/>
              <w:rPr>
                <w:rFonts w:hint="eastAsia" w:ascii="黑体" w:hAnsi="黑体" w:eastAsia="黑体" w:cs="黑体"/>
                <w:b/>
                <w:bCs/>
                <w:i w:val="0"/>
                <w:iCs w:val="0"/>
                <w:color w:val="FFFFFF"/>
                <w:sz w:val="24"/>
                <w:szCs w:val="24"/>
                <w:u w:val="none"/>
              </w:rPr>
            </w:pPr>
            <w:r>
              <w:rPr>
                <w:rFonts w:hint="eastAsia" w:ascii="黑体" w:hAnsi="黑体" w:eastAsia="黑体" w:cs="黑体"/>
                <w:b/>
                <w:bCs/>
                <w:i w:val="0"/>
                <w:iCs w:val="0"/>
                <w:color w:val="FFFFFF"/>
                <w:kern w:val="0"/>
                <w:sz w:val="24"/>
                <w:szCs w:val="24"/>
                <w:u w:val="none"/>
                <w:lang w:val="en-US" w:eastAsia="zh-CN" w:bidi="ar"/>
              </w:rPr>
              <w:t>时长</w:t>
            </w:r>
          </w:p>
        </w:tc>
      </w:tr>
      <w:tr w14:paraId="3530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restart"/>
            <w:tcBorders>
              <w:top w:val="single" w:color="16A1E2" w:sz="6" w:space="0"/>
              <w:left w:val="single" w:color="16A1E2" w:sz="6" w:space="0"/>
              <w:right w:val="single" w:color="9FDAF6" w:sz="6" w:space="0"/>
            </w:tcBorders>
            <w:shd w:val="clear" w:color="auto" w:fill="FFFFFF"/>
            <w:noWrap/>
            <w:vAlign w:val="center"/>
          </w:tcPr>
          <w:p w14:paraId="5318D1BB">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eastAsia" w:ascii="Times New Roman" w:hAnsi="Times New Roman" w:eastAsia="仿宋_GB2312" w:cs="Times New Roman"/>
                <w:b/>
                <w:bCs/>
                <w:i w:val="0"/>
                <w:iCs w:val="0"/>
                <w:color w:val="000000"/>
                <w:kern w:val="0"/>
                <w:sz w:val="24"/>
                <w:szCs w:val="22"/>
                <w:u w:val="none"/>
                <w:lang w:val="en-US" w:eastAsia="zh-CN" w:bidi="ar"/>
              </w:rPr>
              <w:t>专业动态调整</w:t>
            </w:r>
          </w:p>
        </w:tc>
        <w:tc>
          <w:tcPr>
            <w:tcW w:w="1847" w:type="pct"/>
            <w:tcBorders>
              <w:top w:val="single" w:color="16A1E2" w:sz="6" w:space="0"/>
              <w:left w:val="single" w:color="9FDAF6" w:sz="6" w:space="0"/>
              <w:bottom w:val="single" w:color="9FDAF6" w:sz="6" w:space="0"/>
              <w:right w:val="single" w:color="9FDAF6" w:sz="6" w:space="0"/>
            </w:tcBorders>
            <w:shd w:val="clear" w:color="auto" w:fill="FFFFFF"/>
            <w:vAlign w:val="center"/>
          </w:tcPr>
          <w:p w14:paraId="4D4DC220">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“新双高”背景下的专业群组群逻辑与动态调整</w:t>
            </w:r>
          </w:p>
        </w:tc>
        <w:tc>
          <w:tcPr>
            <w:tcW w:w="615" w:type="pct"/>
            <w:tcBorders>
              <w:top w:val="single" w:color="16A1E2" w:sz="6" w:space="0"/>
              <w:left w:val="single" w:color="9FDAF6" w:sz="6" w:space="0"/>
              <w:bottom w:val="single" w:color="9FDAF6" w:sz="6" w:space="0"/>
              <w:right w:val="single" w:color="9FDAF6" w:sz="6" w:space="0"/>
            </w:tcBorders>
            <w:shd w:val="clear" w:color="auto" w:fill="FFFFFF"/>
            <w:vAlign w:val="center"/>
          </w:tcPr>
          <w:p w14:paraId="2940866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杨国良 </w:t>
            </w:r>
          </w:p>
        </w:tc>
        <w:tc>
          <w:tcPr>
            <w:tcW w:w="1284" w:type="pct"/>
            <w:tcBorders>
              <w:top w:val="single" w:color="16A1E2" w:sz="6" w:space="0"/>
              <w:left w:val="single" w:color="9FDAF6" w:sz="6" w:space="0"/>
              <w:bottom w:val="single" w:color="9FDAF6" w:sz="6" w:space="0"/>
              <w:right w:val="single" w:color="9FDAF6" w:sz="6" w:space="0"/>
            </w:tcBorders>
            <w:shd w:val="clear" w:color="auto" w:fill="FFFFFF"/>
            <w:vAlign w:val="center"/>
          </w:tcPr>
          <w:p w14:paraId="1E674376">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天津职业大学经管学院院长，教授</w:t>
            </w:r>
          </w:p>
        </w:tc>
        <w:tc>
          <w:tcPr>
            <w:tcW w:w="573" w:type="pct"/>
            <w:tcBorders>
              <w:top w:val="single" w:color="16A1E2" w:sz="6" w:space="0"/>
              <w:left w:val="single" w:color="9FDAF6" w:sz="6" w:space="0"/>
              <w:bottom w:val="single" w:color="9FDAF6" w:sz="6" w:space="0"/>
              <w:right w:val="single" w:color="16A1E2" w:sz="6" w:space="0"/>
            </w:tcBorders>
            <w:shd w:val="clear" w:color="auto" w:fill="FFFFFF"/>
            <w:vAlign w:val="center"/>
          </w:tcPr>
          <w:p w14:paraId="7C7D195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47 </w:t>
            </w:r>
          </w:p>
        </w:tc>
      </w:tr>
      <w:tr w14:paraId="32C7F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18A6AEB9">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C870054">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“新双高”背景下的专业（群）建设</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15CF931">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冷士良</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42350D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徐州工业职业技术学院“双高”建设办公室原主任，二级教授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0E9553F9">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54 </w:t>
            </w:r>
          </w:p>
        </w:tc>
      </w:tr>
      <w:tr w14:paraId="27FD1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1E5F0EA6">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D848927">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先进轨道交通装备高技能人才培养的实践探索</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42D7BA1">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张  莹</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3A7CBF7">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湖南铁道职业技术学院党委副书记，院长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182CDEC0">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36 </w:t>
            </w:r>
          </w:p>
        </w:tc>
      </w:tr>
      <w:tr w14:paraId="79FD5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3BCC6754">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BEC224E">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高档数控机床和机器人领域高技能人才集群培养计划探索与实践</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CE098B1">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贺星岳</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2D57AD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浙江机电职业技术大学校长，教授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C0A27E3">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55 </w:t>
            </w:r>
          </w:p>
        </w:tc>
      </w:tr>
      <w:tr w14:paraId="4A0EA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5634F2F7">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F80013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智慧交通微专业建设实践——南宁学院交通运输学院“AI+交通应用场景”导向培养计划</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320CF3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陈  燕</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1B66FE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南宁学院交通运输学院副院长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6E4F7E44">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24 </w:t>
            </w:r>
          </w:p>
        </w:tc>
      </w:tr>
      <w:tr w14:paraId="4908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bottom w:val="single" w:color="9FDAF6" w:sz="6" w:space="0"/>
              <w:right w:val="single" w:color="9FDAF6" w:sz="6" w:space="0"/>
            </w:tcBorders>
            <w:shd w:val="clear" w:color="auto" w:fill="FFFFFF"/>
            <w:noWrap/>
            <w:vAlign w:val="center"/>
          </w:tcPr>
          <w:p w14:paraId="2EE5A65E">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8C9F63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预制菜加工与管理微专业建设实践</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6F7501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李  想</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3172C87">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四川旅游学院副校长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00876B2">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42 </w:t>
            </w:r>
          </w:p>
        </w:tc>
      </w:tr>
      <w:tr w14:paraId="1A758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restart"/>
            <w:tcBorders>
              <w:top w:val="single" w:color="9FDAF6" w:sz="6" w:space="0"/>
              <w:left w:val="single" w:color="16A1E2" w:sz="6" w:space="0"/>
              <w:right w:val="single" w:color="9FDAF6" w:sz="6" w:space="0"/>
            </w:tcBorders>
            <w:shd w:val="clear" w:color="auto" w:fill="FFFFFF"/>
            <w:noWrap/>
            <w:vAlign w:val="center"/>
          </w:tcPr>
          <w:p w14:paraId="171EEFC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eastAsia" w:ascii="Times New Roman" w:hAnsi="Times New Roman" w:eastAsia="仿宋_GB2312" w:cs="Times New Roman"/>
                <w:b/>
                <w:bCs/>
                <w:i w:val="0"/>
                <w:iCs w:val="0"/>
                <w:color w:val="000000"/>
                <w:kern w:val="0"/>
                <w:sz w:val="24"/>
                <w:szCs w:val="22"/>
                <w:u w:val="none"/>
                <w:lang w:val="en-US" w:eastAsia="zh-CN" w:bidi="ar"/>
              </w:rPr>
              <w:t>课程组合优化</w:t>
            </w: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6E83C6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职业教育专业能力图谱：内涵、建设路径、应用场景及预期效果</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223A6A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徐  涵</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48DF5B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沈阳师范大学二级教授。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3602F61">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109 </w:t>
            </w:r>
          </w:p>
        </w:tc>
      </w:tr>
      <w:tr w14:paraId="24A6A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55BD2F16">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68984C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职业教育课程能力图谱开发</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E75170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刘庆华</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F780DE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河北科技工程职业技术大学教育教学研究与教师培训中心主任</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497DB68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53 </w:t>
            </w:r>
          </w:p>
        </w:tc>
      </w:tr>
      <w:tr w14:paraId="6C625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24E0E325">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E8D0A2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职业教育模块化金课建设——以装备制造类国家级精品课程建设为例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80094DB">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孙佳楠</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C68AFC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浙江机电职业技术大学教务处副处长、教授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42AD992E">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74 </w:t>
            </w:r>
          </w:p>
        </w:tc>
      </w:tr>
      <w:tr w14:paraId="6029B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5EC9DEF7">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5FE20DD">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职业教育金课的标准与建设路径</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CFBE5E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巴世光</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5050DAB">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天津职业大学机电工程与自动化学院研究员、二级教授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4A65F7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80 </w:t>
            </w:r>
          </w:p>
        </w:tc>
      </w:tr>
      <w:tr w14:paraId="0E753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7B571277">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279A663">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职业教育金课的教学组织与实施</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1BEF2F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巴世光</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1922416">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天津职业大学机电工程与自动化学院研究员、二级教授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478E1D52">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56 </w:t>
            </w:r>
          </w:p>
        </w:tc>
      </w:tr>
      <w:tr w14:paraId="39F6B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62FB2310">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79365E6">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基于“一体化”背景下，推进高职院校思政课建设内涵式发展的理性思考与实践探索</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E6384C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查广云</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E78BC4C">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浙江机电职业技术大学马克思主义学院院长；兼任全国高职高专院校思政课建设联盟副秘书长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FE8437F">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56 </w:t>
            </w:r>
          </w:p>
        </w:tc>
      </w:tr>
      <w:tr w14:paraId="6E39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bottom w:val="single" w:color="9FDAF6" w:sz="6" w:space="0"/>
              <w:right w:val="single" w:color="9FDAF6" w:sz="6" w:space="0"/>
            </w:tcBorders>
            <w:shd w:val="clear" w:color="auto" w:fill="FFFFFF"/>
            <w:noWrap/>
            <w:vAlign w:val="center"/>
          </w:tcPr>
          <w:p w14:paraId="45A2A7DD">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956A064">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职业教育微课程建设实践——以《宠物美容与护理》课程为例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4DF774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王艳立</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4206F85">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辽宁农业职业技术学院教授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1B06288B">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40 </w:t>
            </w:r>
          </w:p>
        </w:tc>
      </w:tr>
      <w:tr w14:paraId="19AC2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restart"/>
            <w:tcBorders>
              <w:top w:val="single" w:color="9FDAF6" w:sz="6" w:space="0"/>
              <w:left w:val="single" w:color="16A1E2" w:sz="6" w:space="0"/>
              <w:right w:val="single" w:color="9FDAF6" w:sz="6" w:space="0"/>
            </w:tcBorders>
            <w:shd w:val="clear" w:color="auto" w:fill="FFFFFF"/>
            <w:noWrap/>
            <w:vAlign w:val="center"/>
          </w:tcPr>
          <w:p w14:paraId="3B1FB19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eastAsia" w:ascii="Times New Roman" w:hAnsi="Times New Roman" w:eastAsia="仿宋_GB2312" w:cs="Times New Roman"/>
                <w:b/>
                <w:bCs/>
                <w:i w:val="0"/>
                <w:iCs w:val="0"/>
                <w:color w:val="000000"/>
                <w:kern w:val="0"/>
                <w:sz w:val="24"/>
                <w:szCs w:val="22"/>
                <w:u w:val="none"/>
                <w:lang w:val="en-US" w:eastAsia="zh-CN" w:bidi="ar"/>
              </w:rPr>
              <w:t>新形态教材建设</w:t>
            </w: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6A0EDD9">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高质量教材建设与出版规范</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B20ECC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左卫霞</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C90049B">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清华大学出版社副编审</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69EC4F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37 </w:t>
            </w:r>
          </w:p>
        </w:tc>
      </w:tr>
      <w:tr w14:paraId="3FA8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04140691">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2AD415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职业教育自动化大类专业教材开发与建设</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33EC056">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郭艳萍</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D0A8AEE">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重庆工业职业技术大学教授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0D992E32">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45 </w:t>
            </w:r>
          </w:p>
        </w:tc>
      </w:tr>
      <w:tr w14:paraId="2AA3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6748F589">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F41250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新能源汽车专业数字教材开发探索与实践</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5E997E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陈 标</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48F77A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湖南汽车工程职业大学教务处副处长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6A2E83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38 </w:t>
            </w:r>
          </w:p>
        </w:tc>
      </w:tr>
      <w:tr w14:paraId="3078D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noWrap/>
            <w:vAlign w:val="center"/>
          </w:tcPr>
          <w:p w14:paraId="7968CA02">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9CEB7FC">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先进轨道交通装备重点领域职业教育数字教材开发实践——以《轨道车辆整车调试技术》为例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78517A3">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莫  坚</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251DC59">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湖南铁道职业技术学院教务处处长、教授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5A649E3">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57 </w:t>
            </w:r>
          </w:p>
        </w:tc>
      </w:tr>
      <w:tr w14:paraId="6E049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bottom w:val="single" w:color="9FDAF6" w:sz="6" w:space="0"/>
              <w:right w:val="single" w:color="9FDAF6" w:sz="6" w:space="0"/>
            </w:tcBorders>
            <w:shd w:val="clear" w:color="auto" w:fill="FFFFFF"/>
            <w:noWrap/>
            <w:vAlign w:val="center"/>
          </w:tcPr>
          <w:p w14:paraId="536B2270">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E654104">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职业教育数字教材编写体例分析及开发路径</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9E4C3AE">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李  琤</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6E83F9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安徽机电职业技术学院汽车技术教研室主任</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C26615B">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49 </w:t>
            </w:r>
          </w:p>
        </w:tc>
      </w:tr>
      <w:tr w14:paraId="549D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restart"/>
            <w:tcBorders>
              <w:top w:val="single" w:color="9FDAF6" w:sz="6" w:space="0"/>
              <w:left w:val="single" w:color="16A1E2" w:sz="6" w:space="0"/>
              <w:right w:val="single" w:color="9FDAF6" w:sz="6" w:space="0"/>
            </w:tcBorders>
            <w:shd w:val="clear" w:color="auto" w:fill="FFFFFF"/>
            <w:noWrap/>
            <w:vAlign w:val="center"/>
          </w:tcPr>
          <w:p w14:paraId="7C7C5BC9">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eastAsia" w:ascii="Times New Roman" w:hAnsi="Times New Roman" w:eastAsia="仿宋_GB2312" w:cs="Times New Roman"/>
                <w:b/>
                <w:bCs/>
                <w:i w:val="0"/>
                <w:iCs w:val="0"/>
                <w:color w:val="000000"/>
                <w:kern w:val="0"/>
                <w:sz w:val="24"/>
                <w:szCs w:val="22"/>
                <w:u w:val="none"/>
                <w:lang w:val="en-US" w:eastAsia="zh-CN" w:bidi="ar"/>
              </w:rPr>
              <w:t>师资队伍建设</w:t>
            </w: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F9102B7">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“新双高”背景下的职业院校教师发展中心：政策演进、价值目标与理念创新</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2D1717E">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李  青</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E6E92F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广东机电职业技术学院副校长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6D60067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101 </w:t>
            </w:r>
          </w:p>
        </w:tc>
      </w:tr>
      <w:tr w14:paraId="1122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679" w:type="pct"/>
            <w:vMerge w:val="continue"/>
            <w:tcBorders>
              <w:left w:val="single" w:color="16A1E2" w:sz="6" w:space="0"/>
              <w:right w:val="single" w:color="9FDAF6" w:sz="6" w:space="0"/>
            </w:tcBorders>
            <w:shd w:val="clear" w:color="auto" w:fill="FFFFFF"/>
            <w:noWrap/>
            <w:vAlign w:val="center"/>
          </w:tcPr>
          <w:p w14:paraId="2A18B15B">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1FCDDB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强师之匙：职业院校教师发展中心的建设策略与实施路径</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515035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李  青</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F4F14E9">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广东机电职业技术学院副校长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6472F74">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90 </w:t>
            </w:r>
          </w:p>
        </w:tc>
      </w:tr>
      <w:tr w14:paraId="27B8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vAlign w:val="center"/>
          </w:tcPr>
          <w:p w14:paraId="64814C5E">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C02F63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构建科学评价体系 激励教师分类卓越</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6986299">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游  丽</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6C8437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华中师范大学人事部（党委教师工作部、人才办）原部长（主任），湖北幼儿师范高等专科学校党委副书记、校长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482F1C5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106 </w:t>
            </w:r>
          </w:p>
        </w:tc>
      </w:tr>
      <w:tr w14:paraId="5C76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vAlign w:val="center"/>
          </w:tcPr>
          <w:p w14:paraId="068CEF56">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21B4963">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基于课程的职业教育教师教学创新团队建设</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2CDD2D4">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温贻芳</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677CAEE">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苏州职业技术大学党委书记。</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3D552A1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65 </w:t>
            </w:r>
          </w:p>
        </w:tc>
      </w:tr>
      <w:tr w14:paraId="78DC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vAlign w:val="center"/>
          </w:tcPr>
          <w:p w14:paraId="3822BF9F">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B03B33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工业机器人技术专业国家级职业教育教师教学创新团队建设经验分享</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B3E7886">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戴  琨</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335D81C">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唐山工业职业技术大学二级教授，高级技师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3ACE6CF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96 </w:t>
            </w:r>
          </w:p>
        </w:tc>
      </w:tr>
      <w:tr w14:paraId="7C4B7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left w:val="single" w:color="16A1E2" w:sz="6" w:space="0"/>
              <w:bottom w:val="single" w:color="9FDAF6" w:sz="6" w:space="0"/>
              <w:right w:val="single" w:color="9FDAF6" w:sz="6" w:space="0"/>
            </w:tcBorders>
            <w:shd w:val="clear" w:color="auto" w:fill="FFFFFF"/>
            <w:vAlign w:val="center"/>
          </w:tcPr>
          <w:p w14:paraId="1C6809E2">
            <w:pPr>
              <w:jc w:val="center"/>
              <w:rPr>
                <w:rFonts w:hint="default" w:ascii="Times New Roman" w:hAnsi="Times New Roman" w:eastAsia="仿宋_GB2312" w:cs="Times New Roman"/>
                <w:b/>
                <w:bCs/>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C766930">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校企深度融合 工匠式人才培养模式的构建——以国家级技能大师工作室为例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CB7ECDC">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欧阳伟</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1636704">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辽宁省交通高等专科学校教务处处长。高级工程师、国家级教学名师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5463552">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43 </w:t>
            </w:r>
          </w:p>
        </w:tc>
      </w:tr>
      <w:tr w14:paraId="6F3C6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restart"/>
            <w:tcBorders>
              <w:top w:val="single" w:color="9FDAF6" w:sz="6" w:space="0"/>
              <w:left w:val="single" w:color="16A1E2" w:sz="6" w:space="0"/>
              <w:right w:val="single" w:color="9FDAF6" w:sz="6" w:space="0"/>
            </w:tcBorders>
            <w:shd w:val="clear" w:color="auto" w:fill="FFFFFF"/>
            <w:vAlign w:val="center"/>
          </w:tcPr>
          <w:p w14:paraId="3354500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eastAsia" w:ascii="Times New Roman" w:hAnsi="Times New Roman" w:eastAsia="仿宋_GB2312" w:cs="Times New Roman"/>
                <w:b/>
                <w:bCs/>
                <w:i w:val="0"/>
                <w:iCs w:val="0"/>
                <w:color w:val="000000"/>
                <w:kern w:val="0"/>
                <w:sz w:val="24"/>
                <w:szCs w:val="22"/>
                <w:u w:val="none"/>
                <w:lang w:val="en-US" w:eastAsia="zh-CN" w:bidi="ar"/>
              </w:rPr>
              <w:t>实习实训基地建设</w:t>
            </w: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8D3693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职业院校实训基地的建设背景与思路</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88A4700">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曾照香</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DCFD566">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淄博职业技术大学原副校长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0E12C212">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73 </w:t>
            </w:r>
          </w:p>
        </w:tc>
      </w:tr>
      <w:tr w14:paraId="3FDC0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vAlign w:val="center"/>
          </w:tcPr>
          <w:p w14:paraId="04105577">
            <w:pP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328FC59">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共建、共研、共享  打造现代家政人才培养金基地</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B8065C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蔡大鹏</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033FE45">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北京劳动保障职业学院党委副书记，院长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59AA2B4">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48 </w:t>
            </w:r>
          </w:p>
        </w:tc>
      </w:tr>
      <w:tr w14:paraId="5846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vAlign w:val="center"/>
          </w:tcPr>
          <w:p w14:paraId="528924FA">
            <w:pP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69B1D59">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“新材料+”智慧教学与虚拟仿真实训基地建设实践探索</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84DDDD2">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李云龙</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2EC9AE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黎明职业大学副校长，教授。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471AC69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49 </w:t>
            </w:r>
          </w:p>
        </w:tc>
      </w:tr>
      <w:tr w14:paraId="11FA3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vAlign w:val="center"/>
          </w:tcPr>
          <w:p w14:paraId="5961A098">
            <w:pP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997E5AC">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共创共享 建设产教融合共同体</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0292D2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霍丽娟</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B14F8F3">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北京教育科学研究院职业教育研究所所长，教授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362DF54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132 </w:t>
            </w:r>
          </w:p>
        </w:tc>
      </w:tr>
      <w:tr w14:paraId="3FF2B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right w:val="single" w:color="9FDAF6" w:sz="6" w:space="0"/>
            </w:tcBorders>
            <w:shd w:val="clear" w:color="auto" w:fill="FFFFFF"/>
            <w:vAlign w:val="center"/>
          </w:tcPr>
          <w:p w14:paraId="4FF14A50">
            <w:pP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B22F76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协同融合、共建共享，赋能机器人产业新质生产力发展——苏州吴中经济技术开发区机器人与智能制造产教联合体建设与实践</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B40C5D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温贻芳</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E0EB433">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苏州职业技术大学党委书记</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93E7DB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43 </w:t>
            </w:r>
          </w:p>
        </w:tc>
      </w:tr>
      <w:tr w14:paraId="788C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left w:val="single" w:color="16A1E2" w:sz="6" w:space="0"/>
              <w:bottom w:val="single" w:color="9FDAF6" w:sz="6" w:space="0"/>
              <w:right w:val="single" w:color="9FDAF6" w:sz="6" w:space="0"/>
            </w:tcBorders>
            <w:shd w:val="clear" w:color="auto" w:fill="FFFFFF"/>
            <w:vAlign w:val="center"/>
          </w:tcPr>
          <w:p w14:paraId="60AA8F49">
            <w:pP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8C8EABF">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潍坊国家农业开放发展综合试验区产教联合体建设的实践探索</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9C6376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李学太</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BE0498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00000"/>
                <w:kern w:val="0"/>
                <w:sz w:val="24"/>
                <w:szCs w:val="20"/>
                <w:u w:val="none"/>
                <w:lang w:val="en-US" w:eastAsia="zh-CN" w:bidi="ar"/>
              </w:rPr>
              <w:t>山东畜牧兽医职业学院党委副书记、院长</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39E7065E">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eastAsia" w:ascii="Times New Roman" w:hAnsi="Times New Roman" w:eastAsia="仿宋_GB2312" w:cs="Times New Roman"/>
                <w:i w:val="0"/>
                <w:iCs w:val="0"/>
                <w:color w:val="08090C"/>
                <w:kern w:val="0"/>
                <w:sz w:val="24"/>
                <w:szCs w:val="22"/>
                <w:u w:val="none"/>
                <w:lang w:val="en-US" w:eastAsia="zh-CN" w:bidi="ar"/>
              </w:rPr>
              <w:t xml:space="preserve">22 </w:t>
            </w:r>
          </w:p>
        </w:tc>
      </w:tr>
      <w:tr w14:paraId="502FF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restart"/>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07A3C2E0">
            <w:pPr>
              <w:keepNext w:val="0"/>
              <w:keepLines w:val="0"/>
              <w:widowControl/>
              <w:suppressLineNumbers w:val="0"/>
              <w:jc w:val="center"/>
              <w:textAlignment w:val="center"/>
              <w:rPr>
                <w:rFonts w:hint="default" w:ascii="Times New Roman" w:hAnsi="Times New Roman" w:eastAsia="仿宋_GB2312" w:cs="Times New Roman"/>
                <w:b/>
                <w:bCs w:val="0"/>
                <w:i w:val="0"/>
                <w:iCs w:val="0"/>
                <w:color w:val="000000"/>
                <w:sz w:val="24"/>
                <w:szCs w:val="24"/>
                <w:u w:val="none"/>
              </w:rPr>
            </w:pPr>
            <w:r>
              <w:rPr>
                <w:rFonts w:hint="default" w:ascii="Times New Roman" w:hAnsi="Times New Roman" w:eastAsia="仿宋_GB2312" w:cs="Times New Roman"/>
                <w:b/>
                <w:bCs w:val="0"/>
                <w:i w:val="0"/>
                <w:iCs w:val="0"/>
                <w:color w:val="000000"/>
                <w:kern w:val="0"/>
                <w:sz w:val="24"/>
                <w:szCs w:val="24"/>
                <w:highlight w:val="none"/>
                <w:u w:val="none"/>
                <w:lang w:val="en-US" w:eastAsia="zh-CN" w:bidi="ar"/>
              </w:rPr>
              <w:t>AI赋能课程建设</w:t>
            </w: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032775C">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知识图谱赋能高质量人才自主培养</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EE1818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姜兆亮</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B9B8CBE">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山东大学教授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4CB9071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49</w:t>
            </w:r>
          </w:p>
        </w:tc>
      </w:tr>
      <w:tr w14:paraId="26F9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4F3818EB">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3DCD005">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知识图谱赋能新形态课程建设与教学创新</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D18022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丁广乾</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034B74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济南大学副教授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0D6D4EE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58</w:t>
            </w:r>
          </w:p>
        </w:tc>
      </w:tr>
      <w:tr w14:paraId="2195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7E162279">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A3281D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知识图谱在高校课程教学中的创新应用</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059E3F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周屈兰</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4A26BC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西安交通大学能源与动力工程学院教授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381905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73</w:t>
            </w:r>
          </w:p>
        </w:tc>
      </w:tr>
      <w:tr w14:paraId="1DA67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41C7D82C">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6B7704E">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AI驱动的高校教学创新——知识图谱与AI的融合应用</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8D0F700">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马志强</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F3FD94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江南大学人文学院（教育学院）副院长，教授、博士生导师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5FF68B4">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11</w:t>
            </w:r>
          </w:p>
        </w:tc>
      </w:tr>
      <w:tr w14:paraId="53C2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5E73B261">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335858B">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DeepSeek+AI工具集赋能智慧课程建设</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FB0514B">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丁广乾</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AF989A7">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济南大学副教授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776D46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40</w:t>
            </w:r>
          </w:p>
        </w:tc>
      </w:tr>
      <w:tr w14:paraId="673F2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3FA4D79D">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9EDC74F">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基于知识图谱的数字化智慧课程建设与应用——以工科数学分析课程为例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B34D9B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孙玉泉</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5A1E555">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北京航空航天大学数学科学学院计算科学系师生联合党支部书记</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6BEE48E1">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46</w:t>
            </w:r>
          </w:p>
        </w:tc>
      </w:tr>
      <w:tr w14:paraId="325E6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77002317">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98AD5E4">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AI+知识图谱赋能新形态课程建设与教学创新——以</w:t>
            </w:r>
            <w:r>
              <w:rPr>
                <w:rFonts w:hint="eastAsia" w:ascii="Times New Roman" w:hAnsi="Times New Roman" w:eastAsia="仿宋_GB2312" w:cs="Times New Roman"/>
                <w:b w:val="0"/>
                <w:i w:val="0"/>
                <w:iCs w:val="0"/>
                <w:color w:val="000000"/>
                <w:kern w:val="0"/>
                <w:sz w:val="24"/>
                <w:szCs w:val="24"/>
                <w:u w:val="none"/>
                <w:lang w:val="en-US" w:eastAsia="zh-CN" w:bidi="ar"/>
              </w:rPr>
              <w:t>“</w:t>
            </w:r>
            <w:r>
              <w:rPr>
                <w:rFonts w:hint="default" w:ascii="Times New Roman" w:hAnsi="Times New Roman" w:eastAsia="仿宋_GB2312" w:cs="Times New Roman"/>
                <w:b w:val="0"/>
                <w:i w:val="0"/>
                <w:iCs w:val="0"/>
                <w:color w:val="000000"/>
                <w:kern w:val="0"/>
                <w:sz w:val="24"/>
                <w:szCs w:val="24"/>
                <w:u w:val="none"/>
                <w:lang w:val="en-US" w:eastAsia="zh-CN" w:bidi="ar"/>
              </w:rPr>
              <w:t>金属材料及其应用</w:t>
            </w:r>
            <w:r>
              <w:rPr>
                <w:rFonts w:hint="eastAsia" w:ascii="Times New Roman" w:hAnsi="Times New Roman" w:eastAsia="仿宋_GB2312" w:cs="Times New Roman"/>
                <w:b w:val="0"/>
                <w:i w:val="0"/>
                <w:iCs w:val="0"/>
                <w:color w:val="000000"/>
                <w:kern w:val="0"/>
                <w:sz w:val="24"/>
                <w:szCs w:val="24"/>
                <w:u w:val="none"/>
                <w:lang w:val="en-US" w:eastAsia="zh-CN" w:bidi="ar"/>
              </w:rPr>
              <w:t>”</w:t>
            </w:r>
            <w:r>
              <w:rPr>
                <w:rFonts w:hint="default" w:ascii="Times New Roman" w:hAnsi="Times New Roman" w:eastAsia="仿宋_GB2312" w:cs="Times New Roman"/>
                <w:b w:val="0"/>
                <w:i w:val="0"/>
                <w:iCs w:val="0"/>
                <w:color w:val="000000"/>
                <w:kern w:val="0"/>
                <w:sz w:val="24"/>
                <w:szCs w:val="24"/>
                <w:u w:val="none"/>
                <w:lang w:val="en-US" w:eastAsia="zh-CN" w:bidi="ar"/>
              </w:rPr>
              <w:t>课程为例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F2F45C4">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卢艳丽</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DE1667E">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西北工业大学材料学院教授、博士生导师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3E3749B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44</w:t>
            </w:r>
          </w:p>
        </w:tc>
      </w:tr>
      <w:tr w14:paraId="4F770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38DC013C">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D32AC65">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新医科智慧课程建设的经验与实践——以《生物化学》为例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A15C34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陈会敏</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4BA7A5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湖北中医药大学基础医学院生物化学教研室主任、教授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1E0670E0">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23</w:t>
            </w:r>
          </w:p>
        </w:tc>
      </w:tr>
      <w:tr w14:paraId="43FEC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7780FD24">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184978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AI赋能智慧课程建设与教学实践——以《概率论与数理统计》为例</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CB0E1EB">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赵鲁涛</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CF3A1C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北京理工大学管理学院教授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6903462D">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55</w:t>
            </w:r>
          </w:p>
        </w:tc>
      </w:tr>
      <w:tr w14:paraId="3E5D7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restart"/>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3E9D623C">
            <w:pPr>
              <w:keepNext w:val="0"/>
              <w:keepLines w:val="0"/>
              <w:widowControl/>
              <w:suppressLineNumbers w:val="0"/>
              <w:jc w:val="center"/>
              <w:textAlignment w:val="center"/>
              <w:rPr>
                <w:rFonts w:hint="default" w:ascii="Times New Roman" w:hAnsi="Times New Roman" w:eastAsia="仿宋_GB2312" w:cs="Times New Roman"/>
                <w:b/>
                <w:bCs w:val="0"/>
                <w:i w:val="0"/>
                <w:iCs w:val="0"/>
                <w:color w:val="000000"/>
                <w:sz w:val="24"/>
                <w:szCs w:val="24"/>
                <w:u w:val="none"/>
              </w:rPr>
            </w:pPr>
            <w:r>
              <w:rPr>
                <w:rFonts w:hint="default" w:ascii="Times New Roman" w:hAnsi="Times New Roman" w:eastAsia="仿宋_GB2312" w:cs="Times New Roman"/>
                <w:b/>
                <w:bCs w:val="0"/>
                <w:i w:val="0"/>
                <w:iCs w:val="0"/>
                <w:color w:val="000000"/>
                <w:kern w:val="0"/>
                <w:sz w:val="24"/>
                <w:szCs w:val="24"/>
                <w:highlight w:val="none"/>
                <w:u w:val="none"/>
                <w:lang w:val="en-US" w:eastAsia="zh-CN" w:bidi="ar"/>
              </w:rPr>
              <w:t>AI赋能</w:t>
            </w:r>
            <w:r>
              <w:rPr>
                <w:rFonts w:hint="eastAsia" w:ascii="Times New Roman" w:hAnsi="Times New Roman" w:eastAsia="仿宋_GB2312" w:cs="Times New Roman"/>
                <w:b/>
                <w:bCs w:val="0"/>
                <w:i w:val="0"/>
                <w:iCs w:val="0"/>
                <w:color w:val="000000"/>
                <w:kern w:val="0"/>
                <w:sz w:val="24"/>
                <w:szCs w:val="24"/>
                <w:highlight w:val="none"/>
                <w:u w:val="none"/>
                <w:lang w:val="en-US" w:eastAsia="zh-CN" w:bidi="ar"/>
              </w:rPr>
              <w:t>教育</w:t>
            </w:r>
            <w:r>
              <w:rPr>
                <w:rFonts w:hint="default" w:ascii="Times New Roman" w:hAnsi="Times New Roman" w:eastAsia="仿宋_GB2312" w:cs="Times New Roman"/>
                <w:b/>
                <w:bCs w:val="0"/>
                <w:i w:val="0"/>
                <w:iCs w:val="0"/>
                <w:color w:val="000000"/>
                <w:kern w:val="0"/>
                <w:sz w:val="24"/>
                <w:szCs w:val="24"/>
                <w:highlight w:val="none"/>
                <w:u w:val="none"/>
                <w:lang w:val="en-US" w:eastAsia="zh-CN" w:bidi="ar"/>
              </w:rPr>
              <w:t>教学</w:t>
            </w: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4219C8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DeepSeek模式解析与应用实践</w:t>
            </w:r>
          </w:p>
        </w:tc>
        <w:tc>
          <w:tcPr>
            <w:tcW w:w="615" w:type="pct"/>
            <w:vMerge w:val="restart"/>
            <w:tcBorders>
              <w:top w:val="single" w:color="9FDAF6" w:sz="6" w:space="0"/>
              <w:left w:val="single" w:color="9FDAF6" w:sz="6" w:space="0"/>
              <w:bottom w:val="single" w:color="9FDAF6" w:sz="6" w:space="0"/>
              <w:right w:val="single" w:color="9FDAF6" w:sz="6" w:space="0"/>
            </w:tcBorders>
            <w:shd w:val="clear" w:color="auto" w:fill="FFFFFF"/>
            <w:vAlign w:val="center"/>
          </w:tcPr>
          <w:p w14:paraId="0E57B16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薛英娟</w:t>
            </w:r>
          </w:p>
        </w:tc>
        <w:tc>
          <w:tcPr>
            <w:tcW w:w="1284" w:type="pct"/>
            <w:vMerge w:val="restart"/>
            <w:tcBorders>
              <w:top w:val="single" w:color="9FDAF6" w:sz="6" w:space="0"/>
              <w:left w:val="single" w:color="9FDAF6" w:sz="6" w:space="0"/>
              <w:bottom w:val="single" w:color="9FDAF6" w:sz="6" w:space="0"/>
              <w:right w:val="single" w:color="9FDAF6" w:sz="6" w:space="0"/>
            </w:tcBorders>
            <w:shd w:val="clear" w:color="auto" w:fill="FFFFFF"/>
            <w:vAlign w:val="center"/>
          </w:tcPr>
          <w:p w14:paraId="7BDD9255">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中北大学教学信息化研究虚拟教研室主任</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6194E5E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23</w:t>
            </w:r>
          </w:p>
        </w:tc>
      </w:tr>
      <w:tr w14:paraId="3CADB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2108A117">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FD49A3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DeepSeek+在教学中的应用案例</w:t>
            </w:r>
          </w:p>
        </w:tc>
        <w:tc>
          <w:tcPr>
            <w:tcW w:w="615"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11E06FDA">
            <w:pPr>
              <w:jc w:val="center"/>
              <w:rPr>
                <w:rFonts w:hint="default" w:ascii="Times New Roman" w:hAnsi="Times New Roman" w:eastAsia="仿宋_GB2312" w:cs="Times New Roman"/>
                <w:b w:val="0"/>
                <w:i w:val="0"/>
                <w:iCs w:val="0"/>
                <w:color w:val="000000"/>
                <w:sz w:val="24"/>
                <w:szCs w:val="24"/>
                <w:u w:val="none"/>
              </w:rPr>
            </w:pPr>
          </w:p>
        </w:tc>
        <w:tc>
          <w:tcPr>
            <w:tcW w:w="1284"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4694FE1C">
            <w:pPr>
              <w:jc w:val="left"/>
              <w:rPr>
                <w:rFonts w:hint="default" w:ascii="Times New Roman" w:hAnsi="Times New Roman" w:eastAsia="仿宋_GB2312" w:cs="Times New Roman"/>
                <w:b w:val="0"/>
                <w:i w:val="0"/>
                <w:iCs w:val="0"/>
                <w:color w:val="000000"/>
                <w:sz w:val="24"/>
                <w:szCs w:val="24"/>
                <w:u w:val="none"/>
              </w:rPr>
            </w:pP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07BB06B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21</w:t>
            </w:r>
          </w:p>
        </w:tc>
      </w:tr>
      <w:tr w14:paraId="14C61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40D5BFDA">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33F4643">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DeepSeek+AI工具集赋能教学模式创新</w:t>
            </w:r>
          </w:p>
        </w:tc>
        <w:tc>
          <w:tcPr>
            <w:tcW w:w="615" w:type="pct"/>
            <w:vMerge w:val="restart"/>
            <w:tcBorders>
              <w:top w:val="single" w:color="9FDAF6" w:sz="6" w:space="0"/>
              <w:left w:val="single" w:color="9FDAF6" w:sz="6" w:space="0"/>
              <w:bottom w:val="single" w:color="9FDAF6" w:sz="6" w:space="0"/>
              <w:right w:val="single" w:color="9FDAF6" w:sz="6" w:space="0"/>
            </w:tcBorders>
            <w:shd w:val="clear" w:color="auto" w:fill="FFFFFF"/>
            <w:vAlign w:val="center"/>
          </w:tcPr>
          <w:p w14:paraId="7BFFB9AC">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丁广乾</w:t>
            </w:r>
          </w:p>
        </w:tc>
        <w:tc>
          <w:tcPr>
            <w:tcW w:w="1284" w:type="pct"/>
            <w:vMerge w:val="restart"/>
            <w:tcBorders>
              <w:top w:val="single" w:color="9FDAF6" w:sz="6" w:space="0"/>
              <w:left w:val="single" w:color="9FDAF6" w:sz="6" w:space="0"/>
              <w:bottom w:val="single" w:color="9FDAF6" w:sz="6" w:space="0"/>
              <w:right w:val="single" w:color="9FDAF6" w:sz="6" w:space="0"/>
            </w:tcBorders>
            <w:shd w:val="clear" w:color="auto" w:fill="FFFFFF"/>
            <w:vAlign w:val="center"/>
          </w:tcPr>
          <w:p w14:paraId="2BC93567">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济南大学副教授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6C8BF38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55</w:t>
            </w:r>
          </w:p>
        </w:tc>
      </w:tr>
      <w:tr w14:paraId="1603C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5D768C60">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481BD6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DeepSeek+AI工具集赋能教学设计优化</w:t>
            </w:r>
          </w:p>
        </w:tc>
        <w:tc>
          <w:tcPr>
            <w:tcW w:w="615"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46517C3C">
            <w:pPr>
              <w:jc w:val="center"/>
              <w:rPr>
                <w:rFonts w:hint="default" w:ascii="Times New Roman" w:hAnsi="Times New Roman" w:eastAsia="仿宋_GB2312" w:cs="Times New Roman"/>
                <w:b w:val="0"/>
                <w:i w:val="0"/>
                <w:iCs w:val="0"/>
                <w:color w:val="000000"/>
                <w:sz w:val="24"/>
                <w:szCs w:val="24"/>
                <w:u w:val="none"/>
              </w:rPr>
            </w:pPr>
          </w:p>
        </w:tc>
        <w:tc>
          <w:tcPr>
            <w:tcW w:w="1284"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711A7ED9">
            <w:pPr>
              <w:jc w:val="left"/>
              <w:rPr>
                <w:rFonts w:hint="default" w:ascii="Times New Roman" w:hAnsi="Times New Roman" w:eastAsia="仿宋_GB2312" w:cs="Times New Roman"/>
                <w:b w:val="0"/>
                <w:i w:val="0"/>
                <w:iCs w:val="0"/>
                <w:color w:val="000000"/>
                <w:sz w:val="24"/>
                <w:szCs w:val="24"/>
                <w:u w:val="none"/>
              </w:rPr>
            </w:pP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778AE1B">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44</w:t>
            </w:r>
          </w:p>
        </w:tc>
      </w:tr>
      <w:tr w14:paraId="1257D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217428B3">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EAC177F">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DeepSeek时代的大学课程教学创新实践</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5464AE0">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张</w:t>
            </w:r>
            <w:r>
              <w:rPr>
                <w:rFonts w:hint="eastAsia" w:ascii="Times New Roman" w:hAnsi="Times New Roman" w:eastAsia="仿宋_GB2312" w:cs="Times New Roman"/>
                <w:b w:val="0"/>
                <w:i w:val="0"/>
                <w:iCs w:val="0"/>
                <w:color w:val="000000"/>
                <w:kern w:val="0"/>
                <w:sz w:val="24"/>
                <w:szCs w:val="24"/>
                <w:u w:val="none"/>
                <w:lang w:val="en-US" w:eastAsia="zh-CN" w:bidi="ar"/>
              </w:rPr>
              <w:t xml:space="preserve">  </w:t>
            </w:r>
            <w:r>
              <w:rPr>
                <w:rFonts w:hint="default" w:ascii="Times New Roman" w:hAnsi="Times New Roman" w:eastAsia="仿宋_GB2312" w:cs="Times New Roman"/>
                <w:b w:val="0"/>
                <w:i w:val="0"/>
                <w:iCs w:val="0"/>
                <w:color w:val="000000"/>
                <w:kern w:val="0"/>
                <w:sz w:val="24"/>
                <w:szCs w:val="24"/>
                <w:u w:val="none"/>
                <w:lang w:val="en-US" w:eastAsia="zh-CN" w:bidi="ar"/>
              </w:rPr>
              <w:t>娟</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E93E18E">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西北工业大学力学与土木建筑学院教授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757F176">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44</w:t>
            </w:r>
          </w:p>
        </w:tc>
      </w:tr>
      <w:tr w14:paraId="44B1E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1861F0FE">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6906CA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AI驱动的高校教学创新——人机协同教学新模式</w:t>
            </w:r>
          </w:p>
        </w:tc>
        <w:tc>
          <w:tcPr>
            <w:tcW w:w="615" w:type="pct"/>
            <w:vMerge w:val="restart"/>
            <w:tcBorders>
              <w:top w:val="single" w:color="9FDAF6" w:sz="6" w:space="0"/>
              <w:left w:val="single" w:color="9FDAF6" w:sz="6" w:space="0"/>
              <w:bottom w:val="single" w:color="9FDAF6" w:sz="6" w:space="0"/>
              <w:right w:val="single" w:color="9FDAF6" w:sz="6" w:space="0"/>
            </w:tcBorders>
            <w:shd w:val="clear" w:color="auto" w:fill="FFFFFF"/>
            <w:vAlign w:val="center"/>
          </w:tcPr>
          <w:p w14:paraId="32D03F4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马志强</w:t>
            </w:r>
          </w:p>
        </w:tc>
        <w:tc>
          <w:tcPr>
            <w:tcW w:w="1284" w:type="pct"/>
            <w:vMerge w:val="restart"/>
            <w:tcBorders>
              <w:top w:val="single" w:color="9FDAF6" w:sz="6" w:space="0"/>
              <w:left w:val="single" w:color="9FDAF6" w:sz="6" w:space="0"/>
              <w:bottom w:val="single" w:color="9FDAF6" w:sz="6" w:space="0"/>
              <w:right w:val="single" w:color="9FDAF6" w:sz="6" w:space="0"/>
            </w:tcBorders>
            <w:shd w:val="clear" w:color="auto" w:fill="FFFFFF"/>
            <w:vAlign w:val="center"/>
          </w:tcPr>
          <w:p w14:paraId="66BC3D01">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江南大学人文学院（教育学院）副院长，教授、博士生导师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5C1FF524">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41</w:t>
            </w:r>
          </w:p>
        </w:tc>
      </w:tr>
      <w:tr w14:paraId="1E2E6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1FFDE454">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33D4436">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AI驱动的高校教学创新——AI教学提示词与智能体定制</w:t>
            </w:r>
          </w:p>
        </w:tc>
        <w:tc>
          <w:tcPr>
            <w:tcW w:w="615"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707BDF3D">
            <w:pPr>
              <w:jc w:val="center"/>
              <w:rPr>
                <w:rFonts w:hint="default" w:ascii="Times New Roman" w:hAnsi="Times New Roman" w:eastAsia="仿宋_GB2312" w:cs="Times New Roman"/>
                <w:b w:val="0"/>
                <w:i w:val="0"/>
                <w:iCs w:val="0"/>
                <w:color w:val="000000"/>
                <w:sz w:val="24"/>
                <w:szCs w:val="24"/>
                <w:u w:val="none"/>
              </w:rPr>
            </w:pPr>
          </w:p>
        </w:tc>
        <w:tc>
          <w:tcPr>
            <w:tcW w:w="1284"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1D64570C">
            <w:pPr>
              <w:jc w:val="left"/>
              <w:rPr>
                <w:rFonts w:hint="default" w:ascii="Times New Roman" w:hAnsi="Times New Roman" w:eastAsia="仿宋_GB2312" w:cs="Times New Roman"/>
                <w:b w:val="0"/>
                <w:i w:val="0"/>
                <w:iCs w:val="0"/>
                <w:color w:val="000000"/>
                <w:sz w:val="24"/>
                <w:szCs w:val="24"/>
                <w:u w:val="none"/>
              </w:rPr>
            </w:pP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F59EA10">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43</w:t>
            </w:r>
          </w:p>
        </w:tc>
      </w:tr>
      <w:tr w14:paraId="53AD8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1C6A8942">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D612C9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AI驱动的高校教学创新——如何用AI赋能教学设计</w:t>
            </w:r>
          </w:p>
        </w:tc>
        <w:tc>
          <w:tcPr>
            <w:tcW w:w="615"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4ECE94E5">
            <w:pPr>
              <w:jc w:val="center"/>
              <w:rPr>
                <w:rFonts w:hint="default" w:ascii="Times New Roman" w:hAnsi="Times New Roman" w:eastAsia="仿宋_GB2312" w:cs="Times New Roman"/>
                <w:b w:val="0"/>
                <w:i w:val="0"/>
                <w:iCs w:val="0"/>
                <w:color w:val="000000"/>
                <w:sz w:val="24"/>
                <w:szCs w:val="24"/>
                <w:u w:val="none"/>
              </w:rPr>
            </w:pPr>
          </w:p>
        </w:tc>
        <w:tc>
          <w:tcPr>
            <w:tcW w:w="1284"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3BCEE27F">
            <w:pPr>
              <w:jc w:val="left"/>
              <w:rPr>
                <w:rFonts w:hint="default" w:ascii="Times New Roman" w:hAnsi="Times New Roman" w:eastAsia="仿宋_GB2312" w:cs="Times New Roman"/>
                <w:b w:val="0"/>
                <w:i w:val="0"/>
                <w:iCs w:val="0"/>
                <w:color w:val="000000"/>
                <w:sz w:val="24"/>
                <w:szCs w:val="24"/>
                <w:u w:val="none"/>
              </w:rPr>
            </w:pP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4D7D8D4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39</w:t>
            </w:r>
          </w:p>
        </w:tc>
      </w:tr>
      <w:tr w14:paraId="34C4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6E37C85F">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2CA668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AI驱动的高校教学创新——AI赋能教学创新实践案例</w:t>
            </w:r>
          </w:p>
        </w:tc>
        <w:tc>
          <w:tcPr>
            <w:tcW w:w="615"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02CAB431">
            <w:pPr>
              <w:jc w:val="center"/>
              <w:rPr>
                <w:rFonts w:hint="default" w:ascii="Times New Roman" w:hAnsi="Times New Roman" w:eastAsia="仿宋_GB2312" w:cs="Times New Roman"/>
                <w:b w:val="0"/>
                <w:i w:val="0"/>
                <w:iCs w:val="0"/>
                <w:color w:val="000000"/>
                <w:sz w:val="24"/>
                <w:szCs w:val="24"/>
                <w:u w:val="none"/>
              </w:rPr>
            </w:pPr>
          </w:p>
        </w:tc>
        <w:tc>
          <w:tcPr>
            <w:tcW w:w="1284"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7CEBE75D">
            <w:pPr>
              <w:jc w:val="left"/>
              <w:rPr>
                <w:rFonts w:hint="default" w:ascii="Times New Roman" w:hAnsi="Times New Roman" w:eastAsia="仿宋_GB2312" w:cs="Times New Roman"/>
                <w:b w:val="0"/>
                <w:i w:val="0"/>
                <w:iCs w:val="0"/>
                <w:color w:val="000000"/>
                <w:sz w:val="24"/>
                <w:szCs w:val="24"/>
                <w:u w:val="none"/>
              </w:rPr>
            </w:pP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03BF5FBC">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20</w:t>
            </w:r>
          </w:p>
        </w:tc>
      </w:tr>
      <w:tr w14:paraId="75A2A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54939E4A">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A6C85E3">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AI驱动的高校教学创新——如何用AI赋能教学组织与实施</w:t>
            </w:r>
          </w:p>
        </w:tc>
        <w:tc>
          <w:tcPr>
            <w:tcW w:w="615"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67498609">
            <w:pPr>
              <w:jc w:val="center"/>
              <w:rPr>
                <w:rFonts w:hint="default" w:ascii="Times New Roman" w:hAnsi="Times New Roman" w:eastAsia="仿宋_GB2312" w:cs="Times New Roman"/>
                <w:b w:val="0"/>
                <w:i w:val="0"/>
                <w:iCs w:val="0"/>
                <w:color w:val="000000"/>
                <w:sz w:val="24"/>
                <w:szCs w:val="24"/>
                <w:u w:val="none"/>
              </w:rPr>
            </w:pPr>
          </w:p>
        </w:tc>
        <w:tc>
          <w:tcPr>
            <w:tcW w:w="1284"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7B1B5483">
            <w:pPr>
              <w:jc w:val="left"/>
              <w:rPr>
                <w:rFonts w:hint="default" w:ascii="Times New Roman" w:hAnsi="Times New Roman" w:eastAsia="仿宋_GB2312" w:cs="Times New Roman"/>
                <w:b w:val="0"/>
                <w:i w:val="0"/>
                <w:iCs w:val="0"/>
                <w:color w:val="000000"/>
                <w:sz w:val="24"/>
                <w:szCs w:val="24"/>
                <w:u w:val="none"/>
              </w:rPr>
            </w:pP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6BA3703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26</w:t>
            </w:r>
          </w:p>
        </w:tc>
      </w:tr>
      <w:tr w14:paraId="11001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57B84C49">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AE64A92">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AI驱动的高校教学创新——如何用AI赋能教学评价</w:t>
            </w:r>
          </w:p>
        </w:tc>
        <w:tc>
          <w:tcPr>
            <w:tcW w:w="615"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3474514E">
            <w:pPr>
              <w:jc w:val="center"/>
              <w:rPr>
                <w:rFonts w:hint="default" w:ascii="Times New Roman" w:hAnsi="Times New Roman" w:eastAsia="仿宋_GB2312" w:cs="Times New Roman"/>
                <w:b w:val="0"/>
                <w:i w:val="0"/>
                <w:iCs w:val="0"/>
                <w:color w:val="000000"/>
                <w:sz w:val="24"/>
                <w:szCs w:val="24"/>
                <w:u w:val="none"/>
              </w:rPr>
            </w:pPr>
          </w:p>
        </w:tc>
        <w:tc>
          <w:tcPr>
            <w:tcW w:w="1284" w:type="pct"/>
            <w:vMerge w:val="continue"/>
            <w:tcBorders>
              <w:top w:val="single" w:color="9FDAF6" w:sz="6" w:space="0"/>
              <w:left w:val="single" w:color="9FDAF6" w:sz="6" w:space="0"/>
              <w:bottom w:val="single" w:color="9FDAF6" w:sz="6" w:space="0"/>
              <w:right w:val="single" w:color="9FDAF6" w:sz="6" w:space="0"/>
            </w:tcBorders>
            <w:shd w:val="clear" w:color="auto" w:fill="FFFFFF"/>
            <w:vAlign w:val="center"/>
          </w:tcPr>
          <w:p w14:paraId="62C0C8B8">
            <w:pPr>
              <w:jc w:val="left"/>
              <w:rPr>
                <w:rFonts w:hint="default" w:ascii="Times New Roman" w:hAnsi="Times New Roman" w:eastAsia="仿宋_GB2312" w:cs="Times New Roman"/>
                <w:b w:val="0"/>
                <w:i w:val="0"/>
                <w:iCs w:val="0"/>
                <w:color w:val="000000"/>
                <w:sz w:val="24"/>
                <w:szCs w:val="24"/>
                <w:u w:val="none"/>
              </w:rPr>
            </w:pP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B806171">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40</w:t>
            </w:r>
          </w:p>
        </w:tc>
      </w:tr>
      <w:tr w14:paraId="1822C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restart"/>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61312BEF">
            <w:pPr>
              <w:keepNext w:val="0"/>
              <w:keepLines w:val="0"/>
              <w:widowControl/>
              <w:suppressLineNumbers w:val="0"/>
              <w:jc w:val="center"/>
              <w:textAlignment w:val="center"/>
              <w:rPr>
                <w:rFonts w:hint="default" w:ascii="Times New Roman" w:hAnsi="Times New Roman" w:eastAsia="仿宋_GB2312" w:cs="Times New Roman"/>
                <w:b/>
                <w:bCs w:val="0"/>
                <w:i w:val="0"/>
                <w:iCs w:val="0"/>
                <w:color w:val="000000"/>
                <w:sz w:val="24"/>
                <w:szCs w:val="24"/>
                <w:u w:val="none"/>
                <w:lang w:val="en-US"/>
              </w:rPr>
            </w:pPr>
            <w:r>
              <w:rPr>
                <w:rFonts w:hint="default" w:ascii="Times New Roman" w:hAnsi="Times New Roman" w:eastAsia="仿宋_GB2312" w:cs="Times New Roman"/>
                <w:b/>
                <w:bCs w:val="0"/>
                <w:i w:val="0"/>
                <w:iCs w:val="0"/>
                <w:color w:val="000000"/>
                <w:kern w:val="0"/>
                <w:sz w:val="24"/>
                <w:szCs w:val="24"/>
                <w:highlight w:val="none"/>
                <w:u w:val="none"/>
                <w:lang w:val="en-US" w:eastAsia="zh-CN" w:bidi="ar"/>
              </w:rPr>
              <w:t>AI赋能科研</w:t>
            </w:r>
            <w:r>
              <w:rPr>
                <w:rFonts w:hint="eastAsia" w:ascii="Times New Roman" w:hAnsi="Times New Roman" w:eastAsia="仿宋_GB2312" w:cs="Times New Roman"/>
                <w:b/>
                <w:bCs w:val="0"/>
                <w:i w:val="0"/>
                <w:iCs w:val="0"/>
                <w:color w:val="000000"/>
                <w:kern w:val="0"/>
                <w:sz w:val="24"/>
                <w:szCs w:val="24"/>
                <w:highlight w:val="none"/>
                <w:u w:val="none"/>
                <w:lang w:val="en-US" w:eastAsia="zh-CN" w:bidi="ar"/>
              </w:rPr>
              <w:t>创新</w:t>
            </w: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5278B08">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人工智能赋能教育科学研究的趋势与路径</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96D0445">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刘</w:t>
            </w:r>
            <w:r>
              <w:rPr>
                <w:rFonts w:hint="eastAsia" w:ascii="Times New Roman" w:hAnsi="Times New Roman" w:eastAsia="仿宋_GB2312" w:cs="Times New Roman"/>
                <w:b w:val="0"/>
                <w:i w:val="0"/>
                <w:iCs w:val="0"/>
                <w:color w:val="000000"/>
                <w:kern w:val="0"/>
                <w:sz w:val="24"/>
                <w:szCs w:val="24"/>
                <w:u w:val="none"/>
                <w:lang w:val="en-US" w:eastAsia="zh-CN" w:bidi="ar"/>
              </w:rPr>
              <w:t xml:space="preserve">  </w:t>
            </w:r>
            <w:r>
              <w:rPr>
                <w:rFonts w:hint="default" w:ascii="Times New Roman" w:hAnsi="Times New Roman" w:eastAsia="仿宋_GB2312" w:cs="Times New Roman"/>
                <w:b w:val="0"/>
                <w:i w:val="0"/>
                <w:iCs w:val="0"/>
                <w:color w:val="000000"/>
                <w:kern w:val="0"/>
                <w:sz w:val="24"/>
                <w:szCs w:val="24"/>
                <w:u w:val="none"/>
                <w:lang w:val="en-US" w:eastAsia="zh-CN" w:bidi="ar"/>
              </w:rPr>
              <w:t>智</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A7D4829">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华中师范大学人工智能教育学部与教育大数据国家工程中心研究员</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3C273C5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35</w:t>
            </w:r>
          </w:p>
        </w:tc>
      </w:tr>
      <w:tr w14:paraId="23D92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6D81B869">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CC11663">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生成式AI如何助力提升科研工作效率</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6BDBCA3">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胡</w:t>
            </w:r>
            <w:r>
              <w:rPr>
                <w:rFonts w:hint="eastAsia" w:ascii="Times New Roman" w:hAnsi="Times New Roman" w:eastAsia="仿宋_GB2312" w:cs="Times New Roman"/>
                <w:b w:val="0"/>
                <w:i w:val="0"/>
                <w:iCs w:val="0"/>
                <w:color w:val="000000"/>
                <w:kern w:val="0"/>
                <w:sz w:val="24"/>
                <w:szCs w:val="24"/>
                <w:u w:val="none"/>
                <w:lang w:val="en-US" w:eastAsia="zh-CN" w:bidi="ar"/>
              </w:rPr>
              <w:t xml:space="preserve">  </w:t>
            </w:r>
            <w:r>
              <w:rPr>
                <w:rFonts w:hint="default" w:ascii="Times New Roman" w:hAnsi="Times New Roman" w:eastAsia="仿宋_GB2312" w:cs="Times New Roman"/>
                <w:b w:val="0"/>
                <w:i w:val="0"/>
                <w:iCs w:val="0"/>
                <w:color w:val="000000"/>
                <w:kern w:val="0"/>
                <w:sz w:val="24"/>
                <w:szCs w:val="24"/>
                <w:u w:val="none"/>
                <w:lang w:val="en-US" w:eastAsia="zh-CN" w:bidi="ar"/>
              </w:rPr>
              <w:t>琳</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1DF13C3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四川大学图书馆知识服务中心主任、信息素养教研室主任</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026FA3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64</w:t>
            </w:r>
          </w:p>
        </w:tc>
      </w:tr>
      <w:tr w14:paraId="7E85D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7FEA5257">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5E2073D9">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AI工具赋能科学研究的六大关键路径</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27CBC6E">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郭克华</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294E0BAB">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中南大学二级教授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EB8D927">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47</w:t>
            </w:r>
          </w:p>
        </w:tc>
      </w:tr>
      <w:tr w14:paraId="52CA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0E669D7F">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691E03A">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如何撰写医学AI临床研究论文</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0745281A">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董泽华</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4C303C54">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武汉大学人民医院内科医师、讲师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72472068">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20</w:t>
            </w:r>
          </w:p>
        </w:tc>
      </w:tr>
      <w:tr w14:paraId="6EADD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9" w:type="pct"/>
            <w:vMerge w:val="continue"/>
            <w:tcBorders>
              <w:top w:val="single" w:color="9FDAF6" w:sz="6" w:space="0"/>
              <w:left w:val="single" w:color="16A1E2" w:sz="6" w:space="0"/>
              <w:bottom w:val="single" w:color="9FDAF6" w:sz="6" w:space="0"/>
              <w:right w:val="single" w:color="9FDAF6" w:sz="6" w:space="0"/>
            </w:tcBorders>
            <w:shd w:val="clear" w:color="auto" w:fill="FFFFFF"/>
            <w:noWrap/>
            <w:vAlign w:val="center"/>
          </w:tcPr>
          <w:p w14:paraId="2D419A79">
            <w:pPr>
              <w:jc w:val="center"/>
              <w:rPr>
                <w:rFonts w:hint="default" w:ascii="Times New Roman" w:hAnsi="Times New Roman" w:eastAsia="仿宋_GB2312" w:cs="Times New Roman"/>
                <w:b/>
                <w:bCs w:val="0"/>
                <w:i w:val="0"/>
                <w:iCs w:val="0"/>
                <w:color w:val="000000"/>
                <w:sz w:val="24"/>
                <w:szCs w:val="24"/>
                <w:u w:val="none"/>
              </w:rPr>
            </w:pPr>
          </w:p>
        </w:tc>
        <w:tc>
          <w:tcPr>
            <w:tcW w:w="1847"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346290E0">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AI时代科研行为面临的挑战及对策——恪守科研诚信，倡导负责任研究行为</w:t>
            </w:r>
          </w:p>
        </w:tc>
        <w:tc>
          <w:tcPr>
            <w:tcW w:w="615"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7C523F5F">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刘</w:t>
            </w:r>
            <w:r>
              <w:rPr>
                <w:rFonts w:hint="eastAsia" w:ascii="Times New Roman" w:hAnsi="Times New Roman" w:eastAsia="仿宋_GB2312" w:cs="Times New Roman"/>
                <w:b w:val="0"/>
                <w:i w:val="0"/>
                <w:iCs w:val="0"/>
                <w:color w:val="000000"/>
                <w:kern w:val="0"/>
                <w:sz w:val="24"/>
                <w:szCs w:val="24"/>
                <w:u w:val="none"/>
                <w:lang w:val="en-US" w:eastAsia="zh-CN" w:bidi="ar"/>
              </w:rPr>
              <w:t xml:space="preserve">  </w:t>
            </w:r>
            <w:r>
              <w:rPr>
                <w:rFonts w:hint="default" w:ascii="Times New Roman" w:hAnsi="Times New Roman" w:eastAsia="仿宋_GB2312" w:cs="Times New Roman"/>
                <w:b w:val="0"/>
                <w:i w:val="0"/>
                <w:iCs w:val="0"/>
                <w:color w:val="000000"/>
                <w:kern w:val="0"/>
                <w:sz w:val="24"/>
                <w:szCs w:val="24"/>
                <w:u w:val="none"/>
                <w:lang w:val="en-US" w:eastAsia="zh-CN" w:bidi="ar"/>
              </w:rPr>
              <w:t>红</w:t>
            </w:r>
          </w:p>
        </w:tc>
        <w:tc>
          <w:tcPr>
            <w:tcW w:w="1284" w:type="pct"/>
            <w:tcBorders>
              <w:top w:val="single" w:color="9FDAF6" w:sz="6" w:space="0"/>
              <w:left w:val="single" w:color="9FDAF6" w:sz="6" w:space="0"/>
              <w:bottom w:val="single" w:color="9FDAF6" w:sz="6" w:space="0"/>
              <w:right w:val="single" w:color="9FDAF6" w:sz="6" w:space="0"/>
            </w:tcBorders>
            <w:shd w:val="clear" w:color="auto" w:fill="FFFFFF"/>
            <w:vAlign w:val="center"/>
          </w:tcPr>
          <w:p w14:paraId="62DDF210">
            <w:pPr>
              <w:keepNext w:val="0"/>
              <w:keepLines w:val="0"/>
              <w:widowControl/>
              <w:suppressLineNumbers w:val="0"/>
              <w:jc w:val="left"/>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中国科学院大学公共政策与管理学院教授</w:t>
            </w:r>
          </w:p>
        </w:tc>
        <w:tc>
          <w:tcPr>
            <w:tcW w:w="573" w:type="pct"/>
            <w:tcBorders>
              <w:top w:val="single" w:color="9FDAF6" w:sz="6" w:space="0"/>
              <w:left w:val="single" w:color="9FDAF6" w:sz="6" w:space="0"/>
              <w:bottom w:val="single" w:color="9FDAF6" w:sz="6" w:space="0"/>
              <w:right w:val="single" w:color="16A1E2" w:sz="6" w:space="0"/>
            </w:tcBorders>
            <w:shd w:val="clear" w:color="auto" w:fill="FFFFFF"/>
            <w:vAlign w:val="center"/>
          </w:tcPr>
          <w:p w14:paraId="2F87C45F">
            <w:pPr>
              <w:keepNext w:val="0"/>
              <w:keepLines w:val="0"/>
              <w:widowControl/>
              <w:suppressLineNumbers w:val="0"/>
              <w:jc w:val="center"/>
              <w:textAlignment w:val="center"/>
              <w:rPr>
                <w:rFonts w:hint="default" w:ascii="Times New Roman" w:hAnsi="Times New Roman" w:eastAsia="仿宋_GB2312" w:cs="Times New Roman"/>
                <w:b w:val="0"/>
                <w:i w:val="0"/>
                <w:iCs w:val="0"/>
                <w:color w:val="000000"/>
                <w:sz w:val="24"/>
                <w:szCs w:val="24"/>
                <w:u w:val="none"/>
              </w:rPr>
            </w:pPr>
            <w:r>
              <w:rPr>
                <w:rFonts w:hint="default" w:ascii="Times New Roman" w:hAnsi="Times New Roman" w:eastAsia="仿宋_GB2312" w:cs="Times New Roman"/>
                <w:b w:val="0"/>
                <w:i w:val="0"/>
                <w:iCs w:val="0"/>
                <w:color w:val="000000"/>
                <w:kern w:val="0"/>
                <w:sz w:val="24"/>
                <w:szCs w:val="24"/>
                <w:u w:val="none"/>
                <w:lang w:val="en-US" w:eastAsia="zh-CN" w:bidi="ar"/>
              </w:rPr>
              <w:t>50</w:t>
            </w:r>
          </w:p>
        </w:tc>
      </w:tr>
    </w:tbl>
    <w:p w14:paraId="78C3FD96">
      <w:pPr>
        <w:widowControl/>
        <w:spacing w:before="156" w:beforeLines="50"/>
        <w:jc w:val="left"/>
        <w:textAlignment w:val="center"/>
        <w:rPr>
          <w:rFonts w:ascii="Times New Roman" w:hAnsi="Times New Roman" w:eastAsia="仿宋_GB2312" w:cs="Times New Roman"/>
          <w:kern w:val="0"/>
          <w:sz w:val="24"/>
          <w:lang w:bidi="ar"/>
        </w:rPr>
      </w:pPr>
      <w:r>
        <w:rPr>
          <w:rFonts w:hint="eastAsia" w:ascii="Times New Roman" w:hAnsi="Times New Roman" w:eastAsia="仿宋_GB2312" w:cs="Times New Roman"/>
          <w:b/>
          <w:bCs/>
          <w:kern w:val="0"/>
          <w:sz w:val="24"/>
          <w:lang w:bidi="ar"/>
        </w:rPr>
        <w:t>说明</w:t>
      </w:r>
      <w:r>
        <w:rPr>
          <w:rFonts w:ascii="Times New Roman" w:hAnsi="Times New Roman" w:eastAsia="仿宋_GB2312" w:cs="Times New Roman"/>
          <w:b/>
          <w:bCs/>
          <w:kern w:val="0"/>
          <w:sz w:val="24"/>
          <w:lang w:bidi="ar"/>
        </w:rPr>
        <w:t>：</w:t>
      </w:r>
      <w:r>
        <w:rPr>
          <w:rFonts w:hint="eastAsia" w:ascii="Times New Roman" w:hAnsi="Times New Roman" w:eastAsia="仿宋_GB2312" w:cs="Times New Roman"/>
          <w:kern w:val="0"/>
          <w:sz w:val="24"/>
          <w:lang w:bidi="ar"/>
        </w:rPr>
        <w:t>1.个别课程或稍有调整，请以平台最终发布课程为准；</w:t>
      </w:r>
    </w:p>
    <w:p w14:paraId="58AF1DD7">
      <w:pPr>
        <w:widowControl/>
        <w:ind w:firstLine="720" w:firstLineChars="300"/>
        <w:jc w:val="left"/>
        <w:textAlignment w:val="center"/>
        <w:rPr>
          <w:rFonts w:hint="eastAsia" w:ascii="黑体" w:hAnsi="黑体" w:eastAsia="黑体" w:cs="黑体"/>
          <w:bCs/>
          <w:sz w:val="32"/>
          <w:szCs w:val="32"/>
          <w:lang w:val="en-US" w:eastAsia="zh-CN"/>
        </w:rPr>
      </w:pPr>
      <w:r>
        <w:rPr>
          <w:rFonts w:hint="eastAsia" w:ascii="Times New Roman" w:hAnsi="Times New Roman" w:eastAsia="仿宋_GB2312" w:cs="Times New Roman"/>
          <w:kern w:val="0"/>
          <w:sz w:val="24"/>
          <w:lang w:bidi="ar"/>
        </w:rPr>
        <w:t>2.课程主讲人职务为课程录制时的职务。</w:t>
      </w:r>
    </w:p>
    <w:p w14:paraId="620BE103"/>
    <w:sectPr>
      <w:headerReference r:id="rId4" w:type="default"/>
      <w:footerReference r:id="rId5" w:type="default"/>
      <w:pgSz w:w="11906" w:h="16838"/>
      <w:pgMar w:top="1440" w:right="1800" w:bottom="1698" w:left="1803"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FFCE19-0E19-4F7D-9CAB-891E66CDF9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29F4BC8-8670-4721-BD3B-E1DB6C2AEACC}"/>
  </w:font>
  <w:font w:name="等线">
    <w:panose1 w:val="02010600030101010101"/>
    <w:charset w:val="86"/>
    <w:family w:val="auto"/>
    <w:pitch w:val="default"/>
    <w:sig w:usb0="A00002BF" w:usb1="38CF7CFA" w:usb2="00000016" w:usb3="00000000" w:csb0="0004000F" w:csb1="00000000"/>
    <w:embedRegular r:id="rId3" w:fontKey="{BFEA28D9-EED7-40DE-87A1-8D2499F34094}"/>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4" w:fontKey="{404AD260-D2D3-474C-890F-FAE5450A5D05}"/>
  </w:font>
  <w:font w:name="微软雅黑">
    <w:panose1 w:val="020B0503020204020204"/>
    <w:charset w:val="86"/>
    <w:family w:val="auto"/>
    <w:pitch w:val="default"/>
    <w:sig w:usb0="80000287" w:usb1="2ACF3C50" w:usb2="00000016" w:usb3="00000000" w:csb0="0004001F" w:csb1="00000000"/>
    <w:embedRegular r:id="rId5" w:fontKey="{BBC736B2-0017-4E54-A4A9-701EF5C7F504}"/>
  </w:font>
  <w:font w:name="方正大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6" w:fontKey="{CC0BF092-A704-405E-BB2E-84204B7B17EF}"/>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68F0A">
    <w:pPr>
      <w:pStyle w:val="4"/>
      <w:jc w:val="center"/>
    </w:pPr>
  </w:p>
  <w:p w14:paraId="1D991E3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212EE">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B336A">
                          <w:pPr>
                            <w:rPr>
                              <w:rFonts w:hint="eastAsia" w:ascii="宋体" w:hAnsi="宋体" w:eastAsia="宋体" w:cs="宋体"/>
                              <w:sz w:val="28"/>
                              <w:szCs w:val="36"/>
                            </w:rPr>
                          </w:pPr>
                          <w:r>
                            <w:rPr>
                              <w:rFonts w:hint="eastAsia" w:ascii="宋体" w:hAnsi="宋体" w:eastAsia="宋体" w:cs="宋体"/>
                              <w:sz w:val="28"/>
                              <w:szCs w:val="36"/>
                            </w:rPr>
                            <w:t>—</w:t>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  \* MERGEFORMAT </w:instrText>
                          </w:r>
                          <w:r>
                            <w:rPr>
                              <w:rFonts w:hint="eastAsia" w:ascii="宋体" w:hAnsi="宋体" w:eastAsia="宋体" w:cs="宋体"/>
                              <w:sz w:val="28"/>
                              <w:szCs w:val="36"/>
                            </w:rPr>
                            <w:fldChar w:fldCharType="separate"/>
                          </w:r>
                          <w:r>
                            <w:rPr>
                              <w:rFonts w:hint="eastAsia" w:ascii="宋体" w:hAnsi="宋体" w:eastAsia="宋体" w:cs="宋体"/>
                              <w:sz w:val="28"/>
                              <w:szCs w:val="36"/>
                            </w:rPr>
                            <w:t>1</w:t>
                          </w:r>
                          <w:r>
                            <w:rPr>
                              <w:rFonts w:hint="eastAsia" w:ascii="宋体" w:hAnsi="宋体" w:eastAsia="宋体" w:cs="宋体"/>
                              <w:sz w:val="28"/>
                              <w:szCs w:val="36"/>
                            </w:rPr>
                            <w:fldChar w:fldCharType="end"/>
                          </w:r>
                          <w:r>
                            <w:rPr>
                              <w:rFonts w:hint="eastAsia" w:ascii="宋体" w:hAnsi="宋体" w:eastAsia="宋体" w:cs="宋体"/>
                              <w:sz w:val="28"/>
                              <w:szCs w:val="36"/>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0B336A">
                    <w:pPr>
                      <w:rPr>
                        <w:rFonts w:hint="eastAsia" w:ascii="宋体" w:hAnsi="宋体" w:eastAsia="宋体" w:cs="宋体"/>
                        <w:sz w:val="28"/>
                        <w:szCs w:val="36"/>
                      </w:rPr>
                    </w:pPr>
                    <w:r>
                      <w:rPr>
                        <w:rFonts w:hint="eastAsia" w:ascii="宋体" w:hAnsi="宋体" w:eastAsia="宋体" w:cs="宋体"/>
                        <w:sz w:val="28"/>
                        <w:szCs w:val="36"/>
                      </w:rPr>
                      <w:t>—</w:t>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  \* MERGEFORMAT </w:instrText>
                    </w:r>
                    <w:r>
                      <w:rPr>
                        <w:rFonts w:hint="eastAsia" w:ascii="宋体" w:hAnsi="宋体" w:eastAsia="宋体" w:cs="宋体"/>
                        <w:sz w:val="28"/>
                        <w:szCs w:val="36"/>
                      </w:rPr>
                      <w:fldChar w:fldCharType="separate"/>
                    </w:r>
                    <w:r>
                      <w:rPr>
                        <w:rFonts w:hint="eastAsia" w:ascii="宋体" w:hAnsi="宋体" w:eastAsia="宋体" w:cs="宋体"/>
                        <w:sz w:val="28"/>
                        <w:szCs w:val="36"/>
                      </w:rPr>
                      <w:t>1</w:t>
                    </w:r>
                    <w:r>
                      <w:rPr>
                        <w:rFonts w:hint="eastAsia" w:ascii="宋体" w:hAnsi="宋体" w:eastAsia="宋体" w:cs="宋体"/>
                        <w:sz w:val="28"/>
                        <w:szCs w:val="36"/>
                      </w:rPr>
                      <w:fldChar w:fldCharType="end"/>
                    </w:r>
                    <w:r>
                      <w:rPr>
                        <w:rFonts w:hint="eastAsia" w:ascii="宋体" w:hAnsi="宋体" w:eastAsia="宋体" w:cs="宋体"/>
                        <w:sz w:val="28"/>
                        <w:szCs w:val="36"/>
                      </w:rPr>
                      <w:t>—</w:t>
                    </w:r>
                  </w:p>
                </w:txbxContent>
              </v:textbox>
            </v:shape>
          </w:pict>
        </mc:Fallback>
      </mc:AlternateContent>
    </w:r>
  </w:p>
  <w:p w14:paraId="3DE258D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37355">
    <w:pPr>
      <w:pStyle w:val="5"/>
      <w:pBdr>
        <w:bottom w:val="none" w:color="auto" w:sz="0" w:space="1"/>
      </w:pBdr>
    </w:pPr>
    <w:r>
      <w:rPr>
        <w:rFonts w:hint="eastAsia" w:ascii="微软雅黑" w:hAnsi="微软雅黑" w:eastAsia="微软雅黑" w:cs="微软雅黑"/>
        <w:b w:val="0"/>
        <w:bCs w:val="0"/>
      </w:rPr>
      <mc:AlternateContent>
        <mc:Choice Requires="wps">
          <w:drawing>
            <wp:anchor distT="0" distB="0" distL="114300" distR="114300" simplePos="0" relativeHeight="251668480" behindDoc="1" locked="0" layoutInCell="1" allowOverlap="1">
              <wp:simplePos x="0" y="0"/>
              <wp:positionH relativeFrom="column">
                <wp:posOffset>-1128395</wp:posOffset>
              </wp:positionH>
              <wp:positionV relativeFrom="page">
                <wp:posOffset>115570</wp:posOffset>
              </wp:positionV>
              <wp:extent cx="7782560" cy="288925"/>
              <wp:effectExtent l="0" t="0" r="5715" b="635"/>
              <wp:wrapNone/>
              <wp:docPr id="1" name="任意多边形: 形状 17"/>
              <wp:cNvGraphicFramePr>
                <a:extLst xmlns:a="http://schemas.openxmlformats.org/drawingml/2006/main">
                  <a:ext uri="{7FBC4E63-A832-4D11-8238-D91031DB1400}">
                    <s:tag xmlns="http://www.wps.cn/officeDocument/2013/wpsCustomData" xmlns:s="http://www.wps.cn/officeDocument/2013/wpsCustomData">
                      <s:item s:name="docerheaderfootertag" s:val="header"/>
                    </s:tag>
                  </a:ext>
                </a:extLst>
              </wp:cNvGraphicFramePr>
              <a:graphic xmlns:a="http://schemas.openxmlformats.org/drawingml/2006/main">
                <a:graphicData uri="http://schemas.microsoft.com/office/word/2010/wordprocessingShape">
                  <wps:wsp>
                    <wps:cNvSpPr/>
                    <wps:spPr>
                      <a:xfrm rot="10800000" flipV="1">
                        <a:off x="3810" y="115570"/>
                        <a:ext cx="7782560" cy="288925"/>
                      </a:xfrm>
                      <a:custGeom>
                        <a:avLst/>
                        <a:gdLst>
                          <a:gd name="connsiteX0" fmla="*/ -595 w 5667375"/>
                          <a:gd name="connsiteY0" fmla="*/ 0 h 238125"/>
                          <a:gd name="connsiteX1" fmla="*/ 5666780 w 5667375"/>
                          <a:gd name="connsiteY1" fmla="*/ 0 h 238125"/>
                          <a:gd name="connsiteX2" fmla="*/ 5666780 w 5667375"/>
                          <a:gd name="connsiteY2" fmla="*/ 238125 h 238125"/>
                          <a:gd name="connsiteX3" fmla="*/ 3962157 w 5667375"/>
                          <a:gd name="connsiteY3" fmla="*/ 238125 h 238125"/>
                          <a:gd name="connsiteX4" fmla="*/ 3877871 w 5667375"/>
                          <a:gd name="connsiteY4" fmla="*/ 187238 h 238125"/>
                          <a:gd name="connsiteX5" fmla="*/ 3822797 w 5667375"/>
                          <a:gd name="connsiteY5" fmla="*/ 82594 h 238125"/>
                          <a:gd name="connsiteX6" fmla="*/ 3780649 w 5667375"/>
                          <a:gd name="connsiteY6" fmla="*/ 57150 h 238125"/>
                          <a:gd name="connsiteX7" fmla="*/ -595 w 5667375"/>
                          <a:gd name="connsiteY7" fmla="*/ 57150 h 238125"/>
                          <a:gd name="connsiteX8" fmla="*/ -595 w 5667375"/>
                          <a:gd name="connsiteY8" fmla="*/ 0 h 238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667375" h="238125">
                            <a:moveTo>
                              <a:pt x="-595" y="0"/>
                            </a:moveTo>
                            <a:lnTo>
                              <a:pt x="5666780" y="0"/>
                            </a:lnTo>
                            <a:lnTo>
                              <a:pt x="5666780" y="238125"/>
                            </a:lnTo>
                            <a:lnTo>
                              <a:pt x="3962157" y="238125"/>
                            </a:lnTo>
                            <a:cubicBezTo>
                              <a:pt x="3926801" y="238125"/>
                              <a:pt x="3894339" y="218532"/>
                              <a:pt x="3877871" y="187238"/>
                            </a:cubicBezTo>
                            <a:lnTo>
                              <a:pt x="3822797" y="82594"/>
                            </a:lnTo>
                            <a:cubicBezTo>
                              <a:pt x="3814558" y="66947"/>
                              <a:pt x="3798337" y="57150"/>
                              <a:pt x="3780649" y="57150"/>
                            </a:cubicBezTo>
                            <a:lnTo>
                              <a:pt x="-595" y="57150"/>
                            </a:lnTo>
                            <a:lnTo>
                              <a:pt x="-595" y="0"/>
                            </a:lnTo>
                            <a:close/>
                          </a:path>
                        </a:pathLst>
                      </a:custGeom>
                      <a:gradFill>
                        <a:gsLst>
                          <a:gs pos="50000">
                            <a:srgbClr val="29B6F4"/>
                          </a:gs>
                          <a:gs pos="0">
                            <a:srgbClr val="82D1F6"/>
                          </a:gs>
                          <a:gs pos="99000">
                            <a:srgbClr val="0089CD"/>
                          </a:gs>
                        </a:gsLst>
                        <a:lin ang="16200000" scaled="0"/>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形状 17" o:spid="_x0000_s1026" o:spt="100" style="position:absolute;left:0pt;flip:y;margin-left:-88.85pt;margin-top:9.1pt;height:22.75pt;width:612.8pt;mso-position-vertical-relative:page;rotation:11796480f;z-index:-251648000;v-text-anchor:middle;mso-width-relative:page;mso-height-relative:page;" fillcolor="#82D1F6" filled="t" stroked="f" coordsize="5667375,238125" o:gfxdata="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" path="m-595,0l5666780,0,5666780,238125,3962157,238125c3926801,238125,3894339,218532,3877871,187238l3822797,82594c3814558,66947,3798337,57150,3780649,57150l-595,57150,-595,0xe">
              <v:path o:connectlocs="-817,0;7781742,0;7781742,288925;5440918,288925;5325175,227182;5249546,100214;5191667,69342;-817,69342;-817,0" o:connectangles="0,0,0,0,0,0,0,0,0"/>
              <v:fill type="gradient" on="t" color2="#0089CD" colors="0f #82D1F6;32768f #29B6F4;64881f #0089CD" angle="180" focus="100%" focussize="0,0" rotate="t">
                <o:fill type="gradientUnscaled" v:ext="backwardCompatible"/>
              </v:fill>
              <v:stroke on="f" joinstyle="miter"/>
              <v:imagedata o:title=""/>
              <o:lock v:ext="edit" aspectratio="f"/>
            </v:shape>
          </w:pict>
        </mc:Fallback>
      </mc:AlternateContent>
    </w:r>
    <w:r>
      <w:rPr>
        <w:rFonts w:hint="eastAsia" w:ascii="微软雅黑" w:hAnsi="微软雅黑" w:eastAsia="微软雅黑" w:cs="微软雅黑"/>
        <w:b w:val="0"/>
        <w:bCs w:val="0"/>
      </w:rPr>
      <mc:AlternateContent>
        <mc:Choice Requires="wps">
          <w:drawing>
            <wp:anchor distT="0" distB="0" distL="114300" distR="114300" simplePos="0" relativeHeight="251667456" behindDoc="1" locked="0" layoutInCell="1" allowOverlap="1">
              <wp:simplePos x="0" y="0"/>
              <wp:positionH relativeFrom="column">
                <wp:posOffset>-1216660</wp:posOffset>
              </wp:positionH>
              <wp:positionV relativeFrom="page">
                <wp:posOffset>10031095</wp:posOffset>
              </wp:positionV>
              <wp:extent cx="7760335" cy="76200"/>
              <wp:effectExtent l="0" t="0" r="12065" b="0"/>
              <wp:wrapNone/>
              <wp:docPr id="3" name="任意多边形: 形状 20"/>
              <wp:cNvGraphicFramePr>
                <a:extLst xmlns:a="http://schemas.openxmlformats.org/drawingml/2006/main">
                  <a:ext uri="{7FBC4E63-A832-4D11-8238-D91031DB1400}">
                    <s:tag xmlns="http://www.wps.cn/officeDocument/2013/wpsCustomData" xmlns:s="http://www.wps.cn/officeDocument/2013/wpsCustomData">
                      <s:item s:name="docerheaderfootertag" s:val="footer"/>
                    </s:tag>
                  </a:ext>
                </a:extLst>
              </wp:cNvGraphicFramePr>
              <a:graphic xmlns:a="http://schemas.openxmlformats.org/drawingml/2006/main">
                <a:graphicData uri="http://schemas.microsoft.com/office/word/2010/wordprocessingShape">
                  <wps:wsp>
                    <wps:cNvSpPr/>
                    <wps:spPr>
                      <a:xfrm flipV="1">
                        <a:off x="5080" y="10031095"/>
                        <a:ext cx="7760335" cy="76200"/>
                      </a:xfrm>
                      <a:custGeom>
                        <a:avLst/>
                        <a:gdLst>
                          <a:gd name="connsiteX0" fmla="*/ 0 w 5667375"/>
                          <a:gd name="connsiteY0" fmla="*/ 0 h 57150"/>
                          <a:gd name="connsiteX1" fmla="*/ 5667375 w 5667375"/>
                          <a:gd name="connsiteY1" fmla="*/ 0 h 57150"/>
                          <a:gd name="connsiteX2" fmla="*/ 5667375 w 5667375"/>
                          <a:gd name="connsiteY2" fmla="*/ 57150 h 57150"/>
                          <a:gd name="connsiteX3" fmla="*/ 0 w 5667375"/>
                          <a:gd name="connsiteY3" fmla="*/ 57150 h 57150"/>
                        </a:gdLst>
                        <a:ahLst/>
                        <a:cxnLst>
                          <a:cxn ang="0">
                            <a:pos x="connsiteX0" y="connsiteY0"/>
                          </a:cxn>
                          <a:cxn ang="0">
                            <a:pos x="connsiteX1" y="connsiteY1"/>
                          </a:cxn>
                          <a:cxn ang="0">
                            <a:pos x="connsiteX2" y="connsiteY2"/>
                          </a:cxn>
                          <a:cxn ang="0">
                            <a:pos x="connsiteX3" y="connsiteY3"/>
                          </a:cxn>
                        </a:cxnLst>
                        <a:rect l="l" t="t" r="r" b="b"/>
                        <a:pathLst>
                          <a:path w="5667375" h="57150">
                            <a:moveTo>
                              <a:pt x="0" y="0"/>
                            </a:moveTo>
                            <a:lnTo>
                              <a:pt x="5667375" y="0"/>
                            </a:lnTo>
                            <a:lnTo>
                              <a:pt x="5667375" y="57150"/>
                            </a:lnTo>
                            <a:lnTo>
                              <a:pt x="0" y="57150"/>
                            </a:lnTo>
                            <a:close/>
                          </a:path>
                        </a:pathLst>
                      </a:custGeom>
                      <a:gradFill>
                        <a:gsLst>
                          <a:gs pos="50000">
                            <a:srgbClr val="29B6F4"/>
                          </a:gs>
                          <a:gs pos="0">
                            <a:srgbClr val="82D1F6"/>
                          </a:gs>
                          <a:gs pos="99000">
                            <a:srgbClr val="0089CD"/>
                          </a:gs>
                        </a:gsLst>
                        <a:lin ang="16200000" scaled="0"/>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形状 20" o:spid="_x0000_s1026" o:spt="100" style="position:absolute;left:0pt;flip:y;margin-left:-95.8pt;margin-top:789.85pt;height:6pt;width:611.05pt;mso-position-vertical-relative:page;z-index:-251649024;v-text-anchor:middle;mso-width-relative:page;mso-height-relative:page;" fillcolor="#82D1F6" filled="t" stroked="f" coordsize="5667375,57150" o:gfxdata="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" path="m0,0l5667375,0,5667375,57150,0,57150xe">
              <v:path o:connectlocs="0,0;7760335,0;7760335,76200;0,76200" o:connectangles="0,0,0,0"/>
              <v:fill type="gradient" on="t" color2="#0089CD" colors="0f #82D1F6;32768f #29B6F4;64881f #0089CD" angle="180" focus="100%" focussize="0,0" rotate="t">
                <o:fill type="gradientUnscaled" v:ext="backwardCompatible"/>
              </v:fill>
              <v:stroke on="f" joinstyle="miter"/>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zNGRmYWZmMWViNjZlZTZjMDYxOTFjODk1ZDcxNzgifQ=="/>
  </w:docVars>
  <w:rsids>
    <w:rsidRoot w:val="11B36388"/>
    <w:rsid w:val="000828E2"/>
    <w:rsid w:val="000A710B"/>
    <w:rsid w:val="000C4B84"/>
    <w:rsid w:val="0013303D"/>
    <w:rsid w:val="001570FF"/>
    <w:rsid w:val="00166E9D"/>
    <w:rsid w:val="00196944"/>
    <w:rsid w:val="001C7261"/>
    <w:rsid w:val="001E6C65"/>
    <w:rsid w:val="0021159F"/>
    <w:rsid w:val="00270BE1"/>
    <w:rsid w:val="00293AE0"/>
    <w:rsid w:val="002D119D"/>
    <w:rsid w:val="002F2DD0"/>
    <w:rsid w:val="00332293"/>
    <w:rsid w:val="003D4840"/>
    <w:rsid w:val="00502114"/>
    <w:rsid w:val="00556D85"/>
    <w:rsid w:val="00591B54"/>
    <w:rsid w:val="00592239"/>
    <w:rsid w:val="00646414"/>
    <w:rsid w:val="006E3646"/>
    <w:rsid w:val="006E78B5"/>
    <w:rsid w:val="00760A70"/>
    <w:rsid w:val="00765653"/>
    <w:rsid w:val="007E7C82"/>
    <w:rsid w:val="00864981"/>
    <w:rsid w:val="00912BD2"/>
    <w:rsid w:val="00926B0D"/>
    <w:rsid w:val="0095574C"/>
    <w:rsid w:val="009952D9"/>
    <w:rsid w:val="009A39F1"/>
    <w:rsid w:val="00A8629E"/>
    <w:rsid w:val="00AA139A"/>
    <w:rsid w:val="00C14561"/>
    <w:rsid w:val="00C54618"/>
    <w:rsid w:val="00C56A0E"/>
    <w:rsid w:val="00C719AC"/>
    <w:rsid w:val="00D51928"/>
    <w:rsid w:val="00E214AE"/>
    <w:rsid w:val="00E4138A"/>
    <w:rsid w:val="00E619FB"/>
    <w:rsid w:val="00E71651"/>
    <w:rsid w:val="00FA7EA0"/>
    <w:rsid w:val="01AA3877"/>
    <w:rsid w:val="02170154"/>
    <w:rsid w:val="02A36C44"/>
    <w:rsid w:val="02AC50A1"/>
    <w:rsid w:val="02B84C8C"/>
    <w:rsid w:val="02C05442"/>
    <w:rsid w:val="02E37041"/>
    <w:rsid w:val="035A5068"/>
    <w:rsid w:val="044B15B6"/>
    <w:rsid w:val="045529F1"/>
    <w:rsid w:val="04672857"/>
    <w:rsid w:val="04724103"/>
    <w:rsid w:val="04E3745D"/>
    <w:rsid w:val="04EF5850"/>
    <w:rsid w:val="0562581A"/>
    <w:rsid w:val="064F0DD5"/>
    <w:rsid w:val="0696261C"/>
    <w:rsid w:val="07383789"/>
    <w:rsid w:val="076E1C8E"/>
    <w:rsid w:val="077C7453"/>
    <w:rsid w:val="07C661C3"/>
    <w:rsid w:val="07EF0236"/>
    <w:rsid w:val="080A0351"/>
    <w:rsid w:val="08550C48"/>
    <w:rsid w:val="085E2DCF"/>
    <w:rsid w:val="08765192"/>
    <w:rsid w:val="08CB224C"/>
    <w:rsid w:val="0932487E"/>
    <w:rsid w:val="09671E15"/>
    <w:rsid w:val="096E7880"/>
    <w:rsid w:val="09905A49"/>
    <w:rsid w:val="09A14E58"/>
    <w:rsid w:val="0A1371E5"/>
    <w:rsid w:val="0A1A64C9"/>
    <w:rsid w:val="0A38067D"/>
    <w:rsid w:val="0A4C23DA"/>
    <w:rsid w:val="0AA3731A"/>
    <w:rsid w:val="0AFE068F"/>
    <w:rsid w:val="0B1565AB"/>
    <w:rsid w:val="0B3E0367"/>
    <w:rsid w:val="0B8F2FBD"/>
    <w:rsid w:val="0BC12C99"/>
    <w:rsid w:val="0BC67500"/>
    <w:rsid w:val="0BD6087A"/>
    <w:rsid w:val="0BE7763F"/>
    <w:rsid w:val="0C1F738C"/>
    <w:rsid w:val="0C721436"/>
    <w:rsid w:val="0C941D49"/>
    <w:rsid w:val="0C9E0375"/>
    <w:rsid w:val="0CA35A93"/>
    <w:rsid w:val="0CD054AB"/>
    <w:rsid w:val="0CFC120D"/>
    <w:rsid w:val="0E3F4840"/>
    <w:rsid w:val="0E6061B5"/>
    <w:rsid w:val="0E807456"/>
    <w:rsid w:val="0F002E2D"/>
    <w:rsid w:val="0F5A63B5"/>
    <w:rsid w:val="0FA33ECB"/>
    <w:rsid w:val="0FB104C7"/>
    <w:rsid w:val="0FDC5346"/>
    <w:rsid w:val="10270811"/>
    <w:rsid w:val="103473DA"/>
    <w:rsid w:val="116D2B1A"/>
    <w:rsid w:val="11A42091"/>
    <w:rsid w:val="11B36388"/>
    <w:rsid w:val="125438C9"/>
    <w:rsid w:val="12A60DE8"/>
    <w:rsid w:val="13B91DE0"/>
    <w:rsid w:val="1411426F"/>
    <w:rsid w:val="14D25715"/>
    <w:rsid w:val="14E153AA"/>
    <w:rsid w:val="14F82A1D"/>
    <w:rsid w:val="150C0C9F"/>
    <w:rsid w:val="1542409B"/>
    <w:rsid w:val="15562CE9"/>
    <w:rsid w:val="155F10B0"/>
    <w:rsid w:val="16D9794A"/>
    <w:rsid w:val="1774652E"/>
    <w:rsid w:val="17C47B21"/>
    <w:rsid w:val="17F673BF"/>
    <w:rsid w:val="182F1538"/>
    <w:rsid w:val="18F13BDB"/>
    <w:rsid w:val="19583212"/>
    <w:rsid w:val="19E72CB6"/>
    <w:rsid w:val="1A3D046D"/>
    <w:rsid w:val="1A3F6BF1"/>
    <w:rsid w:val="1A7C336C"/>
    <w:rsid w:val="1B3C77DE"/>
    <w:rsid w:val="1B607147"/>
    <w:rsid w:val="1BCB46AB"/>
    <w:rsid w:val="1BCE46C1"/>
    <w:rsid w:val="1C26359D"/>
    <w:rsid w:val="1C9D04F4"/>
    <w:rsid w:val="1D134F1F"/>
    <w:rsid w:val="1D4941BA"/>
    <w:rsid w:val="1DB71419"/>
    <w:rsid w:val="1ECF44C6"/>
    <w:rsid w:val="1EDC4AED"/>
    <w:rsid w:val="1EF814A6"/>
    <w:rsid w:val="1F164D37"/>
    <w:rsid w:val="1F166DF6"/>
    <w:rsid w:val="1F444F20"/>
    <w:rsid w:val="1FD47FFD"/>
    <w:rsid w:val="205B705D"/>
    <w:rsid w:val="206658BA"/>
    <w:rsid w:val="20923F96"/>
    <w:rsid w:val="20D14F41"/>
    <w:rsid w:val="20E86811"/>
    <w:rsid w:val="212E3260"/>
    <w:rsid w:val="21326D89"/>
    <w:rsid w:val="213A656E"/>
    <w:rsid w:val="220A5C15"/>
    <w:rsid w:val="22197DC0"/>
    <w:rsid w:val="231D65B1"/>
    <w:rsid w:val="23713E44"/>
    <w:rsid w:val="241066F6"/>
    <w:rsid w:val="24174945"/>
    <w:rsid w:val="2435301D"/>
    <w:rsid w:val="24751C29"/>
    <w:rsid w:val="2484268C"/>
    <w:rsid w:val="24B66EE3"/>
    <w:rsid w:val="254C2111"/>
    <w:rsid w:val="256D7E07"/>
    <w:rsid w:val="257D6103"/>
    <w:rsid w:val="25A14E0E"/>
    <w:rsid w:val="25D21167"/>
    <w:rsid w:val="264F6618"/>
    <w:rsid w:val="26510AD9"/>
    <w:rsid w:val="268031A9"/>
    <w:rsid w:val="26F92A28"/>
    <w:rsid w:val="27AC64A5"/>
    <w:rsid w:val="28531580"/>
    <w:rsid w:val="28AA7D71"/>
    <w:rsid w:val="290336EA"/>
    <w:rsid w:val="29336324"/>
    <w:rsid w:val="29780755"/>
    <w:rsid w:val="2A65743E"/>
    <w:rsid w:val="2A677CA8"/>
    <w:rsid w:val="2A6F3F4A"/>
    <w:rsid w:val="2A895EE8"/>
    <w:rsid w:val="2A9C530C"/>
    <w:rsid w:val="2B074451"/>
    <w:rsid w:val="2BAC159C"/>
    <w:rsid w:val="2C4C53A8"/>
    <w:rsid w:val="2D34043B"/>
    <w:rsid w:val="2D586A13"/>
    <w:rsid w:val="2DB759F2"/>
    <w:rsid w:val="2DCD3188"/>
    <w:rsid w:val="2E063A8E"/>
    <w:rsid w:val="2E0877D6"/>
    <w:rsid w:val="2E4C705C"/>
    <w:rsid w:val="2E4E5AB1"/>
    <w:rsid w:val="2E6B0FBF"/>
    <w:rsid w:val="2F1543B2"/>
    <w:rsid w:val="2F830AFE"/>
    <w:rsid w:val="2F98444C"/>
    <w:rsid w:val="2FB337EF"/>
    <w:rsid w:val="2FCB20A8"/>
    <w:rsid w:val="301D276D"/>
    <w:rsid w:val="308A7902"/>
    <w:rsid w:val="31097D0B"/>
    <w:rsid w:val="310B403C"/>
    <w:rsid w:val="3166079A"/>
    <w:rsid w:val="31A64643"/>
    <w:rsid w:val="31BE4227"/>
    <w:rsid w:val="31E53487"/>
    <w:rsid w:val="31F36233"/>
    <w:rsid w:val="320F3589"/>
    <w:rsid w:val="32A37B72"/>
    <w:rsid w:val="32B14498"/>
    <w:rsid w:val="32F90662"/>
    <w:rsid w:val="34604B59"/>
    <w:rsid w:val="34675474"/>
    <w:rsid w:val="34FE16D1"/>
    <w:rsid w:val="353F74A5"/>
    <w:rsid w:val="357C36EF"/>
    <w:rsid w:val="358D4A67"/>
    <w:rsid w:val="361C6259"/>
    <w:rsid w:val="36FF4C08"/>
    <w:rsid w:val="37103587"/>
    <w:rsid w:val="37580572"/>
    <w:rsid w:val="379A5165"/>
    <w:rsid w:val="37CD369E"/>
    <w:rsid w:val="37ED3723"/>
    <w:rsid w:val="38053401"/>
    <w:rsid w:val="38412A0D"/>
    <w:rsid w:val="385A3883"/>
    <w:rsid w:val="38EC6FE3"/>
    <w:rsid w:val="38F6424E"/>
    <w:rsid w:val="39CA198C"/>
    <w:rsid w:val="3A43500B"/>
    <w:rsid w:val="3AB02799"/>
    <w:rsid w:val="3AC86541"/>
    <w:rsid w:val="3ADB3B42"/>
    <w:rsid w:val="3AE0700E"/>
    <w:rsid w:val="3AE849A4"/>
    <w:rsid w:val="3B003F29"/>
    <w:rsid w:val="3B27123C"/>
    <w:rsid w:val="3B9B7FE9"/>
    <w:rsid w:val="3BC250F1"/>
    <w:rsid w:val="3BC8470E"/>
    <w:rsid w:val="3C2C468E"/>
    <w:rsid w:val="3CC72F54"/>
    <w:rsid w:val="3D650CA1"/>
    <w:rsid w:val="3D927EBE"/>
    <w:rsid w:val="3DA40C85"/>
    <w:rsid w:val="3DA46DF1"/>
    <w:rsid w:val="3DE006D9"/>
    <w:rsid w:val="3E3068D7"/>
    <w:rsid w:val="3E6E5B10"/>
    <w:rsid w:val="3F33412A"/>
    <w:rsid w:val="3F3B6048"/>
    <w:rsid w:val="3F7B6278"/>
    <w:rsid w:val="3F8C64BE"/>
    <w:rsid w:val="3FA81F0F"/>
    <w:rsid w:val="40133308"/>
    <w:rsid w:val="401670B8"/>
    <w:rsid w:val="4018149D"/>
    <w:rsid w:val="40295A9F"/>
    <w:rsid w:val="40417E30"/>
    <w:rsid w:val="405F27A4"/>
    <w:rsid w:val="4070746C"/>
    <w:rsid w:val="40AE230C"/>
    <w:rsid w:val="40B82BB4"/>
    <w:rsid w:val="41420BAB"/>
    <w:rsid w:val="41CC6207"/>
    <w:rsid w:val="41D93CEF"/>
    <w:rsid w:val="41FB454F"/>
    <w:rsid w:val="42786A9F"/>
    <w:rsid w:val="42CE4911"/>
    <w:rsid w:val="4303251B"/>
    <w:rsid w:val="43130214"/>
    <w:rsid w:val="4428332C"/>
    <w:rsid w:val="4446233C"/>
    <w:rsid w:val="44666861"/>
    <w:rsid w:val="446E07A9"/>
    <w:rsid w:val="44C54838"/>
    <w:rsid w:val="44FA6A22"/>
    <w:rsid w:val="4510012F"/>
    <w:rsid w:val="45121FEC"/>
    <w:rsid w:val="455E46BC"/>
    <w:rsid w:val="45687A14"/>
    <w:rsid w:val="45936D40"/>
    <w:rsid w:val="460A3EB2"/>
    <w:rsid w:val="461F14A9"/>
    <w:rsid w:val="46900A37"/>
    <w:rsid w:val="46DD7C16"/>
    <w:rsid w:val="47471D31"/>
    <w:rsid w:val="478B1022"/>
    <w:rsid w:val="478E73D8"/>
    <w:rsid w:val="47AD6CEA"/>
    <w:rsid w:val="47D128CC"/>
    <w:rsid w:val="481B081F"/>
    <w:rsid w:val="48714F9B"/>
    <w:rsid w:val="48BB399F"/>
    <w:rsid w:val="4937613E"/>
    <w:rsid w:val="495C4A24"/>
    <w:rsid w:val="497A1DFE"/>
    <w:rsid w:val="49E73261"/>
    <w:rsid w:val="49EA6E8D"/>
    <w:rsid w:val="4A8F0E29"/>
    <w:rsid w:val="4B115A3A"/>
    <w:rsid w:val="4B230521"/>
    <w:rsid w:val="4B2711BE"/>
    <w:rsid w:val="4B8E5887"/>
    <w:rsid w:val="4C536CA4"/>
    <w:rsid w:val="4C8A2925"/>
    <w:rsid w:val="4C957630"/>
    <w:rsid w:val="4CD470AF"/>
    <w:rsid w:val="4CF451B4"/>
    <w:rsid w:val="4E011EB9"/>
    <w:rsid w:val="4E1276A7"/>
    <w:rsid w:val="4F1C6304"/>
    <w:rsid w:val="4F1D43F5"/>
    <w:rsid w:val="4F762469"/>
    <w:rsid w:val="4F7E3505"/>
    <w:rsid w:val="4F9D7987"/>
    <w:rsid w:val="4FF318CA"/>
    <w:rsid w:val="50632B3C"/>
    <w:rsid w:val="50D3598D"/>
    <w:rsid w:val="50F61A04"/>
    <w:rsid w:val="511342F6"/>
    <w:rsid w:val="511A2C8A"/>
    <w:rsid w:val="51DE0FB8"/>
    <w:rsid w:val="529A2CB9"/>
    <w:rsid w:val="52A61705"/>
    <w:rsid w:val="52E51C7A"/>
    <w:rsid w:val="531815F5"/>
    <w:rsid w:val="531A74C9"/>
    <w:rsid w:val="53350000"/>
    <w:rsid w:val="539F4C8A"/>
    <w:rsid w:val="53A62432"/>
    <w:rsid w:val="53B0534E"/>
    <w:rsid w:val="53E427EB"/>
    <w:rsid w:val="54177EC5"/>
    <w:rsid w:val="5421770D"/>
    <w:rsid w:val="544748A8"/>
    <w:rsid w:val="54506B69"/>
    <w:rsid w:val="5524107D"/>
    <w:rsid w:val="559B1273"/>
    <w:rsid w:val="560E7F78"/>
    <w:rsid w:val="56A87127"/>
    <w:rsid w:val="57AB1DEF"/>
    <w:rsid w:val="580F7F9C"/>
    <w:rsid w:val="591D68A1"/>
    <w:rsid w:val="59202B0B"/>
    <w:rsid w:val="59486761"/>
    <w:rsid w:val="59760FEE"/>
    <w:rsid w:val="5A1A0AA4"/>
    <w:rsid w:val="5A1F5D24"/>
    <w:rsid w:val="5A485BB2"/>
    <w:rsid w:val="5A581238"/>
    <w:rsid w:val="5A9A7A80"/>
    <w:rsid w:val="5AA31831"/>
    <w:rsid w:val="5B4B2B03"/>
    <w:rsid w:val="5B74536D"/>
    <w:rsid w:val="5B75607A"/>
    <w:rsid w:val="5B8D6CBF"/>
    <w:rsid w:val="5BA05442"/>
    <w:rsid w:val="5BB2076D"/>
    <w:rsid w:val="5BB24978"/>
    <w:rsid w:val="5BE62FDE"/>
    <w:rsid w:val="5C1C4E26"/>
    <w:rsid w:val="5C433EFD"/>
    <w:rsid w:val="5C655B7C"/>
    <w:rsid w:val="5C967E15"/>
    <w:rsid w:val="5CF11263"/>
    <w:rsid w:val="5D5345A7"/>
    <w:rsid w:val="5DE258B5"/>
    <w:rsid w:val="5E1C6E5F"/>
    <w:rsid w:val="5E6578CA"/>
    <w:rsid w:val="5EF16478"/>
    <w:rsid w:val="5F0D24D7"/>
    <w:rsid w:val="5F463D55"/>
    <w:rsid w:val="5FA40D93"/>
    <w:rsid w:val="5FF169FF"/>
    <w:rsid w:val="608368D1"/>
    <w:rsid w:val="60A629E9"/>
    <w:rsid w:val="60F449B2"/>
    <w:rsid w:val="612C5289"/>
    <w:rsid w:val="61CA1242"/>
    <w:rsid w:val="625247BE"/>
    <w:rsid w:val="628B3911"/>
    <w:rsid w:val="62967725"/>
    <w:rsid w:val="62C171C0"/>
    <w:rsid w:val="62CD073C"/>
    <w:rsid w:val="635748D3"/>
    <w:rsid w:val="635C309D"/>
    <w:rsid w:val="63705631"/>
    <w:rsid w:val="63CE50AE"/>
    <w:rsid w:val="63F909F2"/>
    <w:rsid w:val="63F975E8"/>
    <w:rsid w:val="64337930"/>
    <w:rsid w:val="643C1282"/>
    <w:rsid w:val="64417DA1"/>
    <w:rsid w:val="64827DA3"/>
    <w:rsid w:val="65670581"/>
    <w:rsid w:val="65FE0B7C"/>
    <w:rsid w:val="66A15D14"/>
    <w:rsid w:val="66B0547D"/>
    <w:rsid w:val="66E520A5"/>
    <w:rsid w:val="670213AC"/>
    <w:rsid w:val="67C372C4"/>
    <w:rsid w:val="67EC2FBF"/>
    <w:rsid w:val="680718E8"/>
    <w:rsid w:val="682518DE"/>
    <w:rsid w:val="6859750B"/>
    <w:rsid w:val="687E40FC"/>
    <w:rsid w:val="68D64C60"/>
    <w:rsid w:val="68EF7116"/>
    <w:rsid w:val="691D295F"/>
    <w:rsid w:val="69582626"/>
    <w:rsid w:val="69603E0E"/>
    <w:rsid w:val="697605ED"/>
    <w:rsid w:val="697C17C8"/>
    <w:rsid w:val="6A540DDE"/>
    <w:rsid w:val="6AB97641"/>
    <w:rsid w:val="6AE674BA"/>
    <w:rsid w:val="6B9C03A9"/>
    <w:rsid w:val="6BC4672D"/>
    <w:rsid w:val="6BCC78EC"/>
    <w:rsid w:val="6C310C9E"/>
    <w:rsid w:val="6C376EFF"/>
    <w:rsid w:val="6CF32DF3"/>
    <w:rsid w:val="6D536D97"/>
    <w:rsid w:val="6D990953"/>
    <w:rsid w:val="6DBA30B1"/>
    <w:rsid w:val="6DE309C1"/>
    <w:rsid w:val="6E441DB6"/>
    <w:rsid w:val="6E923C2D"/>
    <w:rsid w:val="6E943ADE"/>
    <w:rsid w:val="6EB32271"/>
    <w:rsid w:val="6EE175F6"/>
    <w:rsid w:val="6F120023"/>
    <w:rsid w:val="6F374458"/>
    <w:rsid w:val="6FC57DB2"/>
    <w:rsid w:val="700C06A3"/>
    <w:rsid w:val="701E0747"/>
    <w:rsid w:val="70712FF1"/>
    <w:rsid w:val="709E66DC"/>
    <w:rsid w:val="70D1486C"/>
    <w:rsid w:val="70EC3F3B"/>
    <w:rsid w:val="711335D5"/>
    <w:rsid w:val="7113780F"/>
    <w:rsid w:val="71163502"/>
    <w:rsid w:val="72001B31"/>
    <w:rsid w:val="721A2233"/>
    <w:rsid w:val="72630AC2"/>
    <w:rsid w:val="72823CE6"/>
    <w:rsid w:val="72EC4DB5"/>
    <w:rsid w:val="7321262F"/>
    <w:rsid w:val="73CB78EB"/>
    <w:rsid w:val="74361A6E"/>
    <w:rsid w:val="744216EA"/>
    <w:rsid w:val="74EB4D2A"/>
    <w:rsid w:val="7530273D"/>
    <w:rsid w:val="758918C0"/>
    <w:rsid w:val="758F4FC4"/>
    <w:rsid w:val="759F4EC1"/>
    <w:rsid w:val="75A43D6E"/>
    <w:rsid w:val="763679D3"/>
    <w:rsid w:val="763A24F9"/>
    <w:rsid w:val="764E4A56"/>
    <w:rsid w:val="769B6CA7"/>
    <w:rsid w:val="76BB697E"/>
    <w:rsid w:val="76DC35D9"/>
    <w:rsid w:val="775766A7"/>
    <w:rsid w:val="776C4A5C"/>
    <w:rsid w:val="77A55067"/>
    <w:rsid w:val="77BE55A3"/>
    <w:rsid w:val="783F5056"/>
    <w:rsid w:val="78473F7B"/>
    <w:rsid w:val="787723BE"/>
    <w:rsid w:val="79565D1A"/>
    <w:rsid w:val="795C5755"/>
    <w:rsid w:val="79837AD1"/>
    <w:rsid w:val="79FD57A8"/>
    <w:rsid w:val="7A120771"/>
    <w:rsid w:val="7A845C6A"/>
    <w:rsid w:val="7AE57589"/>
    <w:rsid w:val="7B2528B4"/>
    <w:rsid w:val="7BF070CA"/>
    <w:rsid w:val="7BF104A8"/>
    <w:rsid w:val="7BFD1FCC"/>
    <w:rsid w:val="7C0F085A"/>
    <w:rsid w:val="7C5C02BC"/>
    <w:rsid w:val="7C6B04FF"/>
    <w:rsid w:val="7C884572"/>
    <w:rsid w:val="7CA66AF0"/>
    <w:rsid w:val="7CB37F11"/>
    <w:rsid w:val="7CE452A1"/>
    <w:rsid w:val="7E06489D"/>
    <w:rsid w:val="7E186CB2"/>
    <w:rsid w:val="7E8D6E52"/>
    <w:rsid w:val="7ECA6EC1"/>
    <w:rsid w:val="7F1F6B4A"/>
    <w:rsid w:val="7F67047A"/>
    <w:rsid w:val="7F6D175F"/>
    <w:rsid w:val="7F7D3F03"/>
    <w:rsid w:val="7FC27C35"/>
    <w:rsid w:val="FBD34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pPr>
      <w:jc w:val="left"/>
    </w:pPr>
  </w:style>
  <w:style w:type="paragraph" w:styleId="4">
    <w:name w:val="footer"/>
    <w:basedOn w:val="1"/>
    <w:link w:val="16"/>
    <w:qFormat/>
    <w:uiPriority w:val="99"/>
    <w:pPr>
      <w:tabs>
        <w:tab w:val="center" w:pos="4153"/>
        <w:tab w:val="right" w:pos="8306"/>
      </w:tabs>
      <w:snapToGrid w:val="0"/>
      <w:jc w:val="left"/>
    </w:pPr>
    <w:rPr>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7">
    <w:name w:val="annotation subject"/>
    <w:basedOn w:val="3"/>
    <w:next w:val="3"/>
    <w:link w:val="20"/>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Emphasis"/>
    <w:basedOn w:val="10"/>
    <w:qFormat/>
    <w:uiPriority w:val="20"/>
    <w:rPr>
      <w:i/>
      <w:iCs/>
    </w:rPr>
  </w:style>
  <w:style w:type="character" w:styleId="13">
    <w:name w:val="Hyperlink"/>
    <w:basedOn w:val="10"/>
    <w:semiHidden/>
    <w:unhideWhenUsed/>
    <w:qFormat/>
    <w:uiPriority w:val="99"/>
    <w:rPr>
      <w:color w:val="0000FF"/>
      <w:u w:val="single"/>
    </w:rPr>
  </w:style>
  <w:style w:type="character" w:styleId="14">
    <w:name w:val="annotation reference"/>
    <w:basedOn w:val="10"/>
    <w:semiHidden/>
    <w:unhideWhenUsed/>
    <w:qFormat/>
    <w:uiPriority w:val="99"/>
    <w:rPr>
      <w:sz w:val="21"/>
      <w:szCs w:val="21"/>
    </w:rPr>
  </w:style>
  <w:style w:type="character" w:customStyle="1" w:styleId="15">
    <w:name w:val="标题 1 字符"/>
    <w:basedOn w:val="10"/>
    <w:link w:val="2"/>
    <w:qFormat/>
    <w:uiPriority w:val="9"/>
    <w:rPr>
      <w:b/>
      <w:bCs/>
      <w:kern w:val="44"/>
      <w:sz w:val="44"/>
      <w:szCs w:val="44"/>
    </w:rPr>
  </w:style>
  <w:style w:type="character" w:customStyle="1" w:styleId="16">
    <w:name w:val="页脚 字符"/>
    <w:basedOn w:val="10"/>
    <w:link w:val="4"/>
    <w:qFormat/>
    <w:uiPriority w:val="99"/>
    <w:rPr>
      <w:sz w:val="18"/>
      <w:szCs w:val="18"/>
    </w:rPr>
  </w:style>
  <w:style w:type="character" w:customStyle="1" w:styleId="17">
    <w:name w:val="页眉 字符"/>
    <w:basedOn w:val="10"/>
    <w:link w:val="5"/>
    <w:qFormat/>
    <w:uiPriority w:val="99"/>
    <w:rPr>
      <w:sz w:val="18"/>
      <w:szCs w:val="18"/>
    </w:rPr>
  </w:style>
  <w:style w:type="paragraph" w:customStyle="1" w:styleId="18">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19">
    <w:name w:val="批注文字 字符"/>
    <w:basedOn w:val="10"/>
    <w:link w:val="3"/>
    <w:semiHidden/>
    <w:qFormat/>
    <w:uiPriority w:val="99"/>
    <w:rPr>
      <w:rFonts w:asciiTheme="minorHAnsi" w:hAnsiTheme="minorHAnsi" w:eastAsiaTheme="minorEastAsia" w:cstheme="minorBidi"/>
      <w:kern w:val="2"/>
      <w:sz w:val="21"/>
      <w:szCs w:val="24"/>
    </w:rPr>
  </w:style>
  <w:style w:type="character" w:customStyle="1" w:styleId="20">
    <w:name w:val="批注主题 字符"/>
    <w:basedOn w:val="19"/>
    <w:link w:val="7"/>
    <w:semiHidden/>
    <w:qFormat/>
    <w:uiPriority w:val="99"/>
    <w:rPr>
      <w:rFonts w:asciiTheme="minorHAnsi" w:hAnsiTheme="minorHAnsi" w:eastAsiaTheme="minorEastAsia" w:cstheme="minorBidi"/>
      <w:b/>
      <w:bCs/>
      <w:kern w:val="2"/>
      <w:sz w:val="21"/>
      <w:szCs w:val="24"/>
    </w:rPr>
  </w:style>
  <w:style w:type="paragraph" w:styleId="21">
    <w:name w:val="List Paragraph"/>
    <w:basedOn w:val="1"/>
    <w:qFormat/>
    <w:uiPriority w:val="99"/>
    <w:pPr>
      <w:ind w:firstLine="420" w:firstLineChars="200"/>
    </w:pPr>
  </w:style>
  <w:style w:type="paragraph" w:customStyle="1" w:styleId="22">
    <w:name w:val="00正文"/>
    <w:basedOn w:val="1"/>
    <w:qFormat/>
    <w:uiPriority w:val="0"/>
    <w:pPr>
      <w:widowControl/>
      <w:spacing w:line="360" w:lineRule="auto"/>
      <w:ind w:firstLine="480" w:firstLineChars="200"/>
    </w:pPr>
    <w:rPr>
      <w:rFonts w:ascii="仿宋_GB2312" w:hAnsi="宋体" w:eastAsia="仿宋_GB2312" w:cs="Times New Roman"/>
      <w:color w:val="000000"/>
      <w:sz w:val="24"/>
      <w:szCs w:val="32"/>
    </w:rPr>
  </w:style>
  <w:style w:type="character" w:customStyle="1" w:styleId="23">
    <w:name w:val="font31"/>
    <w:basedOn w:val="10"/>
    <w:qFormat/>
    <w:uiPriority w:val="0"/>
    <w:rPr>
      <w:rFonts w:hint="eastAsia" w:ascii="等线" w:hAnsi="等线" w:eastAsia="等线" w:cs="等线"/>
      <w:color w:val="000000"/>
      <w:sz w:val="24"/>
      <w:szCs w:val="24"/>
      <w:u w:val="none"/>
    </w:rPr>
  </w:style>
  <w:style w:type="character" w:customStyle="1" w:styleId="24">
    <w:name w:val="font11"/>
    <w:basedOn w:val="10"/>
    <w:qFormat/>
    <w:uiPriority w:val="0"/>
    <w:rPr>
      <w:rFonts w:hint="eastAsia" w:ascii="等线" w:hAnsi="等线" w:eastAsia="等线" w:cs="等线"/>
      <w:color w:val="000000"/>
      <w:sz w:val="24"/>
      <w:szCs w:val="24"/>
      <w:u w:val="none"/>
    </w:rPr>
  </w:style>
  <w:style w:type="character" w:customStyle="1" w:styleId="25">
    <w:name w:val="font51"/>
    <w:basedOn w:val="10"/>
    <w:qFormat/>
    <w:uiPriority w:val="0"/>
    <w:rPr>
      <w:rFonts w:hint="eastAsia" w:ascii="宋体" w:hAnsi="宋体" w:eastAsia="宋体" w:cs="宋体"/>
      <w:color w:val="000000"/>
      <w:sz w:val="22"/>
      <w:szCs w:val="22"/>
      <w:u w:val="none"/>
    </w:rPr>
  </w:style>
  <w:style w:type="character" w:customStyle="1" w:styleId="26">
    <w:name w:val="font21"/>
    <w:basedOn w:val="10"/>
    <w:qFormat/>
    <w:uiPriority w:val="0"/>
    <w:rPr>
      <w:rFonts w:hint="eastAsia" w:ascii="等线" w:hAnsi="等线" w:eastAsia="等线" w:cs="等线"/>
      <w:b/>
      <w:bCs/>
      <w:color w:val="000000"/>
      <w:sz w:val="24"/>
      <w:szCs w:val="24"/>
      <w:u w:val="none"/>
    </w:rPr>
  </w:style>
  <w:style w:type="character" w:customStyle="1" w:styleId="27">
    <w:name w:val="font91"/>
    <w:basedOn w:val="10"/>
    <w:qFormat/>
    <w:uiPriority w:val="0"/>
    <w:rPr>
      <w:rFonts w:hint="eastAsia" w:ascii="等线" w:hAnsi="等线" w:eastAsia="等线" w:cs="等线"/>
      <w:b/>
      <w:bCs/>
      <w:color w:val="000000"/>
      <w:sz w:val="22"/>
      <w:szCs w:val="22"/>
      <w:u w:val="none"/>
    </w:rPr>
  </w:style>
  <w:style w:type="character" w:customStyle="1" w:styleId="28">
    <w:name w:val="font71"/>
    <w:basedOn w:val="10"/>
    <w:qFormat/>
    <w:uiPriority w:val="0"/>
    <w:rPr>
      <w:rFonts w:hint="eastAsia" w:ascii="等线" w:hAnsi="等线" w:eastAsia="等线" w:cs="等线"/>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tags>
    <s:tag s:spid="_x0000_s1026">
      <s:item s:name="docerheaderfootertag" s:val="header"/>
      <s:item s:name="docerheaderfootertag" s:val="footer"/>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1542</Words>
  <Characters>1639</Characters>
  <Lines>5</Lines>
  <Paragraphs>7</Paragraphs>
  <TotalTime>23</TotalTime>
  <ScaleCrop>false</ScaleCrop>
  <LinksUpToDate>false</LinksUpToDate>
  <CharactersWithSpaces>1651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2020-09-09T09:40:00Z</dcterms:created>
  <dc:creator>liyanhui</dc:creator>
  <cp:lastModifiedBy>七生</cp:lastModifiedBy>
  <cp:lastPrinted>2026-07-14T04:00:00Z</cp:lastPrinted>
  <dcterms:modified xsi:type="dcterms:W3CDTF">2026-07-24T09:26:16Z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306066664_cloud</vt:lpwstr>
  </property>
  <property fmtid="{D5CDD505-2E9C-101B-9397-08002B2CF9AE}" pid="3" name="KSOProductBuildVer">
    <vt:lpwstr>2052-12.1.0.26895</vt:lpwstr>
  </property>
  <property fmtid="{D5CDD505-2E9C-101B-9397-08002B2CF9AE}" pid="4" name="ICV">
    <vt:lpwstr>4B754FF328524FEEB044981B699A0E2D_13</vt:lpwstr>
  </property>
  <property fmtid="{D5CDD505-2E9C-101B-9397-08002B2CF9AE}" pid="5" name="KSOTemplateDocerSaveRecord">
    <vt:lpwstr>eyJoZGlkIjoiYTkwY2I3N2FiMGU0NWVhNWNmYjczZTBjZTQ3OWNlMTAiLCJ1c2VySWQiOiIyOTY3MTA0OTYifQ==</vt:lpwstr>
  </property>
</Properties>
</file>