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2689F4">
      <w:pPr>
        <w:rPr>
          <w:rFonts w:hint="default" w:ascii="Times New Roman" w:hAnsi="Times New Roman" w:eastAsia="黑体" w:cs="Times New Roman"/>
          <w:sz w:val="32"/>
          <w:szCs w:val="32"/>
          <w:highlight w:val="none"/>
        </w:rPr>
      </w:pPr>
      <w:bookmarkStart w:id="0" w:name="OLE_LINK12"/>
      <w:r>
        <w:rPr>
          <w:rFonts w:hint="default" w:ascii="Times New Roman" w:hAnsi="Times New Roman" w:eastAsia="黑体" w:cs="Times New Roman"/>
          <w:sz w:val="32"/>
          <w:szCs w:val="32"/>
          <w:highlight w:val="none"/>
        </w:rPr>
        <w:t>附件3</w:t>
      </w:r>
    </w:p>
    <w:p w14:paraId="5BCBCFBE">
      <w:pPr>
        <w:tabs>
          <w:tab w:val="left" w:pos="1260"/>
          <w:tab w:val="left" w:pos="1680"/>
          <w:tab w:val="left" w:pos="1995"/>
        </w:tabs>
        <w:adjustRightInd w:val="0"/>
        <w:snapToGrid w:val="0"/>
        <w:spacing w:after="156" w:afterLines="50" w:line="580" w:lineRule="exact"/>
        <w:jc w:val="center"/>
        <w:rPr>
          <w:rFonts w:eastAsia="方正小标宋简体"/>
          <w:b/>
          <w:sz w:val="36"/>
          <w:szCs w:val="36"/>
          <w:highlight w:val="none"/>
        </w:rPr>
      </w:pPr>
      <w:r>
        <w:rPr>
          <w:rFonts w:hint="eastAsia" w:eastAsia="方正小标宋简体"/>
          <w:b/>
          <w:sz w:val="36"/>
          <w:szCs w:val="36"/>
          <w:highlight w:val="none"/>
          <w:lang w:eastAsia="zh-CN"/>
        </w:rPr>
        <w:t>推荐</w:t>
      </w:r>
      <w:r>
        <w:rPr>
          <w:rFonts w:eastAsia="方正小标宋简体"/>
          <w:b/>
          <w:sz w:val="36"/>
          <w:szCs w:val="36"/>
          <w:highlight w:val="none"/>
        </w:rPr>
        <w:t>人</w:t>
      </w:r>
      <w:r>
        <w:rPr>
          <w:rFonts w:hint="eastAsia" w:eastAsia="方正小标宋简体"/>
          <w:b/>
          <w:sz w:val="36"/>
          <w:szCs w:val="36"/>
          <w:highlight w:val="none"/>
          <w:lang w:eastAsia="zh-CN"/>
        </w:rPr>
        <w:t>选</w:t>
      </w:r>
      <w:r>
        <w:rPr>
          <w:rFonts w:eastAsia="方正小标宋简体"/>
          <w:b/>
          <w:sz w:val="36"/>
          <w:szCs w:val="36"/>
          <w:highlight w:val="none"/>
        </w:rPr>
        <w:t>详细事迹材料样例</w:t>
      </w:r>
    </w:p>
    <w:p w14:paraId="10693FAA">
      <w:pPr>
        <w:widowControl/>
        <w:spacing w:after="156" w:afterLines="50" w:line="560" w:lineRule="exact"/>
        <w:ind w:firstLine="602" w:firstLineChars="200"/>
        <w:jc w:val="left"/>
        <w:rPr>
          <w:rFonts w:hint="eastAsia" w:ascii="楷体_GB2312" w:hAnsi="楷体_GB2312" w:eastAsia="楷体_GB2312" w:cs="楷体_GB2312"/>
          <w:b/>
          <w:sz w:val="30"/>
          <w:szCs w:val="30"/>
          <w:highlight w:val="none"/>
        </w:rPr>
      </w:pPr>
      <w:r>
        <w:rPr>
          <w:rFonts w:hint="eastAsia" w:ascii="楷体_GB2312" w:hAnsi="楷体_GB2312" w:eastAsia="楷体_GB2312" w:cs="楷体_GB2312"/>
          <w:b/>
          <w:sz w:val="30"/>
          <w:szCs w:val="30"/>
          <w:highlight w:val="none"/>
        </w:rPr>
        <w:t>（请严格按照以下样例提供，内容要翔实准确、感染力强，有具体工作事例，充分展现</w:t>
      </w:r>
      <w:r>
        <w:rPr>
          <w:rFonts w:hint="eastAsia" w:ascii="楷体_GB2312" w:hAnsi="楷体_GB2312" w:eastAsia="楷体_GB2312" w:cs="楷体_GB2312"/>
          <w:b/>
          <w:sz w:val="30"/>
          <w:szCs w:val="30"/>
          <w:highlight w:val="none"/>
          <w:lang w:eastAsia="zh-CN"/>
        </w:rPr>
        <w:t>推荐</w:t>
      </w:r>
      <w:r>
        <w:rPr>
          <w:rFonts w:hint="eastAsia" w:ascii="楷体_GB2312" w:hAnsi="楷体_GB2312" w:eastAsia="楷体_GB2312" w:cs="楷体_GB2312"/>
          <w:b/>
          <w:sz w:val="30"/>
          <w:szCs w:val="30"/>
          <w:highlight w:val="none"/>
        </w:rPr>
        <w:t>人</w:t>
      </w:r>
      <w:r>
        <w:rPr>
          <w:rFonts w:hint="eastAsia" w:ascii="楷体_GB2312" w:hAnsi="楷体_GB2312" w:eastAsia="楷体_GB2312" w:cs="楷体_GB2312"/>
          <w:b/>
          <w:sz w:val="30"/>
          <w:szCs w:val="30"/>
          <w:highlight w:val="none"/>
          <w:lang w:eastAsia="zh-CN"/>
        </w:rPr>
        <w:t>选</w:t>
      </w:r>
      <w:r>
        <w:rPr>
          <w:rFonts w:hint="eastAsia" w:ascii="楷体_GB2312" w:hAnsi="楷体_GB2312" w:eastAsia="楷体_GB2312" w:cs="楷体_GB2312"/>
          <w:b/>
          <w:sz w:val="30"/>
          <w:szCs w:val="30"/>
          <w:highlight w:val="none"/>
        </w:rPr>
        <w:t>的先进性和典型性。</w:t>
      </w:r>
      <w:r>
        <w:rPr>
          <w:rFonts w:hint="eastAsia" w:ascii="楷体_GB2312" w:hAnsi="楷体_GB2312" w:eastAsia="楷体_GB2312" w:cs="楷体_GB2312"/>
          <w:b/>
          <w:sz w:val="30"/>
          <w:szCs w:val="30"/>
          <w:highlight w:val="none"/>
          <w:lang w:val="en-US" w:eastAsia="zh-CN"/>
        </w:rPr>
        <w:t>要杜绝虚构、夸大、歧义等易引发舆情的情况；要避免涉密涉敏内容。</w:t>
      </w:r>
      <w:r>
        <w:rPr>
          <w:rFonts w:hint="eastAsia" w:ascii="楷体_GB2312" w:hAnsi="楷体_GB2312" w:eastAsia="楷体_GB2312" w:cs="楷体_GB2312"/>
          <w:b/>
          <w:sz w:val="30"/>
          <w:szCs w:val="30"/>
          <w:highlight w:val="none"/>
        </w:rPr>
        <w:t>要有题记、二级标题，字数在</w:t>
      </w:r>
      <w:r>
        <w:rPr>
          <w:rFonts w:hint="default" w:ascii="Times New Roman" w:hAnsi="Times New Roman" w:eastAsia="楷体_GB2312" w:cs="Times New Roman"/>
          <w:b/>
          <w:sz w:val="30"/>
          <w:szCs w:val="30"/>
          <w:highlight w:val="none"/>
        </w:rPr>
        <w:t>5000</w:t>
      </w:r>
      <w:r>
        <w:rPr>
          <w:rFonts w:hint="eastAsia" w:ascii="楷体_GB2312" w:hAnsi="楷体_GB2312" w:eastAsia="楷体_GB2312" w:cs="楷体_GB2312"/>
          <w:b/>
          <w:sz w:val="30"/>
          <w:szCs w:val="30"/>
          <w:highlight w:val="none"/>
        </w:rPr>
        <w:t>字以内</w:t>
      </w:r>
      <w:r>
        <w:rPr>
          <w:rFonts w:hint="eastAsia" w:ascii="楷体_GB2312" w:hAnsi="楷体_GB2312" w:eastAsia="楷体_GB2312" w:cs="楷体_GB2312"/>
          <w:b/>
          <w:sz w:val="30"/>
          <w:szCs w:val="30"/>
          <w:highlight w:val="none"/>
          <w:lang w:eastAsia="zh-CN"/>
        </w:rPr>
        <w:t>。</w:t>
      </w:r>
      <w:r>
        <w:rPr>
          <w:rFonts w:hint="eastAsia" w:ascii="楷体_GB2312" w:hAnsi="楷体_GB2312" w:eastAsia="楷体_GB2312" w:cs="楷体_GB2312"/>
          <w:b/>
          <w:sz w:val="30"/>
          <w:szCs w:val="30"/>
          <w:highlight w:val="none"/>
        </w:rPr>
        <w:t>）</w:t>
      </w:r>
    </w:p>
    <w:p w14:paraId="59B63E6F">
      <w:pPr>
        <w:spacing w:line="540" w:lineRule="exact"/>
        <w:jc w:val="center"/>
        <w:rPr>
          <w:rFonts w:eastAsia="方正小标宋简体"/>
          <w:b/>
          <w:sz w:val="36"/>
          <w:szCs w:val="36"/>
          <w:highlight w:val="none"/>
        </w:rPr>
      </w:pPr>
      <w:r>
        <w:rPr>
          <w:rFonts w:eastAsia="方正小标宋简体"/>
          <w:b/>
          <w:sz w:val="36"/>
          <w:szCs w:val="36"/>
          <w:highlight w:val="none"/>
        </w:rPr>
        <w:t>在特教苗圃里辛勤耕耘的园丁</w:t>
      </w:r>
    </w:p>
    <w:p w14:paraId="186A173F">
      <w:pPr>
        <w:spacing w:line="540" w:lineRule="exact"/>
        <w:jc w:val="center"/>
        <w:rPr>
          <w:rFonts w:eastAsia="仿宋"/>
          <w:color w:val="000000"/>
          <w:sz w:val="30"/>
          <w:szCs w:val="30"/>
          <w:highlight w:val="none"/>
        </w:rPr>
      </w:pPr>
      <w:r>
        <w:rPr>
          <w:rFonts w:eastAsia="仿宋"/>
          <w:color w:val="000000"/>
          <w:sz w:val="30"/>
          <w:szCs w:val="30"/>
          <w:highlight w:val="none"/>
        </w:rPr>
        <w:t>——记陕西省商洛市特殊教育学校教师党红妮</w:t>
      </w:r>
    </w:p>
    <w:p w14:paraId="16AC9E0A">
      <w:pPr>
        <w:spacing w:line="440" w:lineRule="exact"/>
        <w:jc w:val="left"/>
        <w:rPr>
          <w:rFonts w:eastAsia="楷体_GB2312"/>
          <w:sz w:val="30"/>
          <w:szCs w:val="30"/>
          <w:highlight w:val="none"/>
        </w:rPr>
      </w:pPr>
      <w:r>
        <w:rPr>
          <w:rFonts w:hint="eastAsia" w:ascii="楷体_GB2312" w:hAnsi="楷体_GB2312" w:eastAsia="楷体_GB2312" w:cs="楷体_GB2312"/>
          <w:b/>
          <w:sz w:val="30"/>
          <w:szCs w:val="30"/>
          <w:highlight w:val="none"/>
        </w:rPr>
        <w:drawing>
          <wp:anchor distT="0" distB="0" distL="114300" distR="114300" simplePos="0" relativeHeight="251659264" behindDoc="0" locked="0" layoutInCell="1" allowOverlap="1">
            <wp:simplePos x="0" y="0"/>
            <wp:positionH relativeFrom="margin">
              <wp:posOffset>278130</wp:posOffset>
            </wp:positionH>
            <wp:positionV relativeFrom="margin">
              <wp:posOffset>2914015</wp:posOffset>
            </wp:positionV>
            <wp:extent cx="4711065" cy="3140710"/>
            <wp:effectExtent l="0" t="0" r="635" b="8890"/>
            <wp:wrapSquare wrapText="bothSides"/>
            <wp:docPr id="2"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DSC_0821.JPG."/>
                    <pic:cNvPicPr>
                      <a:picLocks noChangeAspect="1"/>
                    </pic:cNvPicPr>
                  </pic:nvPicPr>
                  <pic:blipFill>
                    <a:blip r:embed="rId5"/>
                    <a:stretch>
                      <a:fillRect/>
                    </a:stretch>
                  </pic:blipFill>
                  <pic:spPr>
                    <a:xfrm>
                      <a:off x="0" y="0"/>
                      <a:ext cx="4711065" cy="3140710"/>
                    </a:xfrm>
                    <a:prstGeom prst="rect">
                      <a:avLst/>
                    </a:prstGeom>
                    <a:noFill/>
                    <a:ln>
                      <a:noFill/>
                    </a:ln>
                  </pic:spPr>
                </pic:pic>
              </a:graphicData>
            </a:graphic>
          </wp:anchor>
        </w:drawing>
      </w:r>
      <w:r>
        <w:rPr>
          <w:rFonts w:eastAsia="楷体_GB2312"/>
          <w:sz w:val="30"/>
          <w:szCs w:val="30"/>
          <w:highlight w:val="none"/>
        </w:rPr>
        <w:t xml:space="preserve">   </w:t>
      </w:r>
    </w:p>
    <w:p w14:paraId="0B9C591C">
      <w:pPr>
        <w:spacing w:line="440" w:lineRule="exact"/>
        <w:ind w:firstLine="600" w:firstLineChars="200"/>
        <w:jc w:val="left"/>
        <w:rPr>
          <w:rFonts w:eastAsia="楷体_GB2312"/>
          <w:sz w:val="30"/>
          <w:szCs w:val="30"/>
          <w:highlight w:val="none"/>
        </w:rPr>
      </w:pPr>
      <w:r>
        <w:rPr>
          <w:rFonts w:eastAsia="楷体_GB2312"/>
          <w:sz w:val="30"/>
          <w:szCs w:val="30"/>
          <w:highlight w:val="none"/>
        </w:rPr>
        <w:t>辛勤耕耘在特教讲台，默默守护着残障儿童，以爱唤爱，以智启智，给残缺以尊严，给特障以坦平……她用点滴平凡故事，书写着特殊教育者的“不</w:t>
      </w:r>
      <w:r>
        <w:rPr>
          <w:rFonts w:hint="eastAsia" w:eastAsia="楷体_GB2312"/>
          <w:sz w:val="30"/>
          <w:szCs w:val="30"/>
          <w:highlight w:val="none"/>
        </w:rPr>
        <w:t>平</w:t>
      </w:r>
      <w:r>
        <w:rPr>
          <w:rFonts w:eastAsia="楷体_GB2312"/>
          <w:sz w:val="30"/>
          <w:szCs w:val="30"/>
          <w:highlight w:val="none"/>
        </w:rPr>
        <w:t xml:space="preserve">凡”。    </w:t>
      </w:r>
    </w:p>
    <w:p w14:paraId="31681C91">
      <w:pPr>
        <w:widowControl/>
        <w:shd w:val="clear" w:color="auto" w:fill="FFFFFF"/>
        <w:spacing w:line="440" w:lineRule="exact"/>
        <w:ind w:firstLine="6828" w:firstLineChars="2276"/>
        <w:rPr>
          <w:rFonts w:eastAsia="楷体_GB2312"/>
          <w:sz w:val="30"/>
          <w:szCs w:val="30"/>
          <w:highlight w:val="none"/>
        </w:rPr>
      </w:pPr>
      <w:r>
        <w:rPr>
          <w:rFonts w:eastAsia="楷体_GB2312"/>
          <w:sz w:val="30"/>
          <w:szCs w:val="30"/>
          <w:highlight w:val="none"/>
        </w:rPr>
        <w:t>——题记</w:t>
      </w:r>
    </w:p>
    <w:p w14:paraId="109E4DB4">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eastAsia="仿宋_GB2312"/>
          <w:sz w:val="32"/>
          <w:szCs w:val="32"/>
          <w:highlight w:val="none"/>
        </w:rPr>
      </w:pPr>
    </w:p>
    <w:p w14:paraId="4E6780A9">
      <w:pPr>
        <w:spacing w:line="440" w:lineRule="exact"/>
        <w:ind w:firstLine="600" w:firstLineChars="200"/>
        <w:rPr>
          <w:rFonts w:eastAsia="方正仿宋简体"/>
          <w:sz w:val="30"/>
          <w:szCs w:val="30"/>
          <w:highlight w:val="none"/>
        </w:rPr>
      </w:pPr>
      <w:r>
        <w:rPr>
          <w:rFonts w:eastAsia="方正仿宋简体"/>
          <w:sz w:val="30"/>
          <w:szCs w:val="30"/>
          <w:highlight w:val="none"/>
        </w:rPr>
        <w:t>在陕西省商洛市特殊教育学校，师生们对党红妮的感人故事都会赞不绝口。</w:t>
      </w:r>
    </w:p>
    <w:p w14:paraId="3A16CBA9">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党红妮毕业于丹凤师范学校，本科学历，中小学一级教师，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14:paraId="287352F5">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这一张张荣誉证书，不仅见证了她春夏秋冬的辛勤耕耘，也为她在特教领域赢得了远比金杯、银杯更珍贵的口碑。</w:t>
      </w:r>
    </w:p>
    <w:p w14:paraId="39EAB8BC">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p>
    <w:p w14:paraId="132872B4">
      <w:pPr>
        <w:keepNext w:val="0"/>
        <w:keepLines w:val="0"/>
        <w:pageBreakBefore w:val="0"/>
        <w:widowControl w:val="0"/>
        <w:kinsoku/>
        <w:wordWrap/>
        <w:overflowPunct/>
        <w:topLinePunct w:val="0"/>
        <w:autoSpaceDE/>
        <w:autoSpaceDN/>
        <w:bidi w:val="0"/>
        <w:adjustRightInd/>
        <w:snapToGrid/>
        <w:spacing w:line="430" w:lineRule="exact"/>
        <w:jc w:val="center"/>
        <w:textAlignment w:val="auto"/>
        <w:rPr>
          <w:rFonts w:eastAsia="方正仿宋简体"/>
          <w:b/>
          <w:sz w:val="30"/>
          <w:szCs w:val="30"/>
          <w:highlight w:val="none"/>
        </w:rPr>
      </w:pPr>
      <w:r>
        <w:rPr>
          <w:rFonts w:eastAsia="方正仿宋简体"/>
          <w:b/>
          <w:sz w:val="30"/>
          <w:szCs w:val="30"/>
          <w:highlight w:val="none"/>
        </w:rPr>
        <w:t>爱是最好的教育</w:t>
      </w:r>
    </w:p>
    <w:p w14:paraId="61A94D1A">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1999年11月，党红妮初次接触特殊教育，面对这群生活在残缺世界中的孩子，她的心揪得厉害：和他们说话，他们听不到；和他们打手语，他们看不懂。</w:t>
      </w:r>
    </w:p>
    <w:p w14:paraId="7156058B">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党红妮说，自己就像一条搁浅在沙滩的鱼，进入了一个教育的陌生领域，一切都是那么难。那段时间，她的嘴角起泡、溃烂了整整一个月。</w:t>
      </w:r>
    </w:p>
    <w:p w14:paraId="398C3417">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世上无难事，只怕有心人。党红妮深知每个孩子都是天上降临的天使，残障孩子是因为不小心折断了翅膀，不管他们的残疾程度有多么严重，他们都应享有基本的尊严和受教育的权利。</w:t>
      </w:r>
    </w:p>
    <w:p w14:paraId="5064CCAA">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14:paraId="29B4A07F">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2015年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14:paraId="76085622">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党红妮立刻意识到事情的紧迫和严重，她利用自己自学的急救知识，给小米做抢救，掐人中，掐脚心、掐手心，以及十个指尖，直到孩子的抽搐渐渐缓解。</w:t>
      </w:r>
    </w:p>
    <w:p w14:paraId="76374446">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随后，她跟着去医院，又担当起家长的角色，垫付医药费，陪同小米抽血、化验，做CT、心电图、脑电图等各种检查。在CT检查中，小米因为不适，呕吐得厉害，为了不污染到检查医疗器械，有几次她都是用手直接去接孩子的呕吐物，心里没有丝毫的怨言。</w:t>
      </w:r>
    </w:p>
    <w:p w14:paraId="05721BB2">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14:paraId="66BC05EA">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14:paraId="119E1769">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14:paraId="35D2B10A">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14:paraId="3D1D050A">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p>
    <w:p w14:paraId="5D21EDA0">
      <w:pPr>
        <w:keepNext w:val="0"/>
        <w:keepLines w:val="0"/>
        <w:pageBreakBefore w:val="0"/>
        <w:widowControl w:val="0"/>
        <w:kinsoku/>
        <w:wordWrap/>
        <w:overflowPunct/>
        <w:topLinePunct w:val="0"/>
        <w:autoSpaceDE/>
        <w:autoSpaceDN/>
        <w:bidi w:val="0"/>
        <w:adjustRightInd/>
        <w:snapToGrid/>
        <w:spacing w:line="430" w:lineRule="exact"/>
        <w:jc w:val="center"/>
        <w:textAlignment w:val="auto"/>
        <w:rPr>
          <w:rFonts w:eastAsia="方正仿宋简体"/>
          <w:b/>
          <w:sz w:val="30"/>
          <w:szCs w:val="30"/>
          <w:highlight w:val="none"/>
        </w:rPr>
      </w:pPr>
      <w:r>
        <w:rPr>
          <w:rFonts w:eastAsia="方正仿宋简体"/>
          <w:b/>
          <w:sz w:val="30"/>
          <w:szCs w:val="30"/>
          <w:highlight w:val="none"/>
        </w:rPr>
        <w:t>特殊教育是“慢”的艺术</w:t>
      </w:r>
    </w:p>
    <w:p w14:paraId="7BD7FDAF">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党红妮深知，特殊教育是“慢”的艺术，教育对象的变化是极其缓慢、细微的。因而，特殊教育需要以一个等待的姿态倾情投入，耐心关注教育对象，用慢节奏促进生命的进步和成长。</w:t>
      </w:r>
    </w:p>
    <w:p w14:paraId="7B63E875">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14:paraId="30093428">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14:paraId="5CAF5962">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14:paraId="5DFB0FB4">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14:paraId="60C5BB0E">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词，老师说“桌”，他跟着说“子”。或者他说“桌”，老师说“子”，这样直到他能够说出完整的词语。最后根据他的实际情况，再在词语的基础上对他进行句子填空式的语言练习。</w:t>
      </w:r>
    </w:p>
    <w:p w14:paraId="682CF927">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这样的康复训练，每一步都很琐碎，每一步都需要不断的重复。但有耐心就有教育，有教育就有改变。就这样，小步子大循环，这些简单的东西不断重复着，呈现出螺旋上升的状态。</w:t>
      </w:r>
    </w:p>
    <w:p w14:paraId="1C97AE8F">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14:paraId="25B7569D">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耐心是特教教师的立德之本。由于教学工作业绩突出，2016年教师节，党红妮代表全省师德标兵及师德先进个人在全省教师节表彰大会上发言，获得阵阵掌声。2017年，她在商洛团市委等组织的寻找身边好青年青春励志报告会上做报告3场，在商洛市教育局组织的全市教师节表彰大会上做报告1场，在商洛市特殊教育学校做师德报告1场，2018年，在商洛中学教师春季整顿培训会上做报告1场。她的个人事迹分别获得《商洛日报》《教师报》《陕西日报》及陕西电视台新闻联播、陕西电台新闻联播等媒体报道。</w:t>
      </w:r>
    </w:p>
    <w:p w14:paraId="250FB950">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p>
    <w:p w14:paraId="6AE8FACB">
      <w:pPr>
        <w:keepNext w:val="0"/>
        <w:keepLines w:val="0"/>
        <w:pageBreakBefore w:val="0"/>
        <w:widowControl w:val="0"/>
        <w:kinsoku/>
        <w:wordWrap/>
        <w:overflowPunct/>
        <w:topLinePunct w:val="0"/>
        <w:autoSpaceDE/>
        <w:autoSpaceDN/>
        <w:bidi w:val="0"/>
        <w:adjustRightInd/>
        <w:snapToGrid/>
        <w:spacing w:line="430" w:lineRule="exact"/>
        <w:jc w:val="center"/>
        <w:textAlignment w:val="auto"/>
        <w:rPr>
          <w:rFonts w:eastAsia="方正仿宋简体"/>
          <w:b/>
          <w:sz w:val="30"/>
          <w:szCs w:val="30"/>
          <w:highlight w:val="none"/>
        </w:rPr>
      </w:pPr>
      <w:r>
        <w:rPr>
          <w:rFonts w:eastAsia="方正仿宋简体"/>
          <w:b/>
          <w:sz w:val="30"/>
          <w:szCs w:val="30"/>
          <w:highlight w:val="none"/>
        </w:rPr>
        <w:t>匠心成就特教之梦</w:t>
      </w:r>
    </w:p>
    <w:p w14:paraId="0916509E">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究型、创新型教师。</w:t>
      </w:r>
    </w:p>
    <w:p w14:paraId="5E354CA4">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14:paraId="0A02DE38">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14:paraId="1CB4D061">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14:paraId="1D0EDED8">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这个星星的孩子如同一艘小小的帆船在学校的港湾起航。小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14:paraId="580448FE">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14:paraId="770321E9">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余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14:paraId="13C4F7D2">
      <w:pPr>
        <w:keepNext w:val="0"/>
        <w:keepLines w:val="0"/>
        <w:pageBreakBefore w:val="0"/>
        <w:widowControl w:val="0"/>
        <w:kinsoku/>
        <w:wordWrap/>
        <w:overflowPunct/>
        <w:topLinePunct w:val="0"/>
        <w:autoSpaceDE/>
        <w:autoSpaceDN/>
        <w:bidi w:val="0"/>
        <w:adjustRightInd/>
        <w:snapToGrid/>
        <w:spacing w:line="430" w:lineRule="exact"/>
        <w:ind w:firstLine="600" w:firstLineChars="200"/>
        <w:textAlignment w:val="auto"/>
        <w:rPr>
          <w:rFonts w:eastAsia="方正仿宋简体"/>
          <w:sz w:val="30"/>
          <w:szCs w:val="30"/>
          <w:highlight w:val="none"/>
        </w:rPr>
      </w:pPr>
      <w:r>
        <w:rPr>
          <w:rFonts w:eastAsia="方正仿宋简体"/>
          <w:sz w:val="30"/>
          <w:szCs w:val="30"/>
          <w:highlight w:val="none"/>
        </w:rPr>
        <w:t>“苔花如米小，也学牡丹开”。如今，她教过的学生有的已经进入更高学府继续深造，有的已经走上了工作岗位，成为自立自强、自食其力的社会劳动者。</w:t>
      </w:r>
    </w:p>
    <w:p w14:paraId="147D87AC">
      <w:pPr>
        <w:spacing w:line="430" w:lineRule="exact"/>
        <w:ind w:firstLine="600" w:firstLineChars="200"/>
        <w:rPr>
          <w:rFonts w:eastAsia="方正仿宋简体"/>
          <w:sz w:val="30"/>
          <w:szCs w:val="30"/>
          <w:highlight w:val="none"/>
        </w:rPr>
      </w:pPr>
      <w:r>
        <w:rPr>
          <w:rFonts w:eastAsia="方正仿宋简体"/>
          <w:sz w:val="30"/>
          <w:szCs w:val="30"/>
          <w:highlight w:val="none"/>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14:paraId="67E92E9F">
      <w:pPr>
        <w:spacing w:line="380" w:lineRule="exact"/>
        <w:ind w:firstLine="602" w:firstLineChars="200"/>
        <w:rPr>
          <w:rFonts w:hint="default" w:ascii="Times New Roman" w:hAnsi="Times New Roman" w:eastAsia="方正仿宋简体" w:cs="Times New Roman"/>
          <w:sz w:val="30"/>
          <w:szCs w:val="30"/>
          <w:highlight w:val="none"/>
        </w:rPr>
      </w:pPr>
      <w:r>
        <w:rPr>
          <w:rFonts w:hint="eastAsia" w:eastAsia="方正仿宋简体"/>
          <w:b/>
          <w:bCs/>
          <w:sz w:val="30"/>
          <w:szCs w:val="30"/>
          <w:highlight w:val="none"/>
          <w:lang w:val="en-US" w:eastAsia="zh-CN"/>
        </w:rPr>
        <w:t>典型定位和金句：</w:t>
      </w:r>
      <w:r>
        <w:rPr>
          <w:rFonts w:hint="default" w:ascii="Times New Roman" w:hAnsi="Times New Roman" w:eastAsia="方正仿宋简体" w:cs="Times New Roman"/>
          <w:b w:val="0"/>
          <w:bCs w:val="0"/>
          <w:sz w:val="30"/>
          <w:szCs w:val="30"/>
          <w:highlight w:val="none"/>
          <w:lang w:val="en-US" w:eastAsia="zh-CN"/>
        </w:rPr>
        <w:t>请</w:t>
      </w:r>
      <w:r>
        <w:rPr>
          <w:rFonts w:hint="default" w:ascii="Times New Roman" w:hAnsi="Times New Roman" w:eastAsia="方正仿宋简体" w:cs="Times New Roman"/>
          <w:sz w:val="30"/>
          <w:szCs w:val="30"/>
          <w:highlight w:val="none"/>
          <w:lang w:val="en-US" w:eastAsia="zh-CN"/>
        </w:rPr>
        <w:t>用一句话提炼推荐人选典型定位和金句。</w:t>
      </w:r>
      <w:r>
        <w:rPr>
          <w:rFonts w:hint="default" w:ascii="Times New Roman" w:hAnsi="Times New Roman" w:eastAsia="方正仿宋简体" w:cs="Times New Roman"/>
          <w:sz w:val="30"/>
          <w:szCs w:val="30"/>
          <w:highlight w:val="none"/>
        </w:rPr>
        <w:t>（可参考“时代楷模”张桂梅“点亮乡村女孩人生梦想的优秀人民教师”、彭士禄“中国核动力事</w:t>
      </w:r>
      <w:bookmarkStart w:id="1" w:name="_GoBack"/>
      <w:bookmarkEnd w:id="1"/>
      <w:r>
        <w:rPr>
          <w:rFonts w:hint="default" w:ascii="Times New Roman" w:hAnsi="Times New Roman" w:eastAsia="方正仿宋简体" w:cs="Times New Roman"/>
          <w:sz w:val="30"/>
          <w:szCs w:val="30"/>
          <w:highlight w:val="none"/>
        </w:rPr>
        <w:t>业的拓荒牛”、</w:t>
      </w:r>
      <w:r>
        <w:rPr>
          <w:rFonts w:hint="default" w:ascii="Times New Roman" w:hAnsi="Times New Roman" w:eastAsia="方正仿宋简体" w:cs="Times New Roman"/>
          <w:sz w:val="30"/>
          <w:szCs w:val="30"/>
          <w:highlight w:val="none"/>
          <w:lang w:val="en-US" w:eastAsia="zh-CN"/>
        </w:rPr>
        <w:t>张龙“</w:t>
      </w:r>
      <w:r>
        <w:rPr>
          <w:rFonts w:hint="default" w:ascii="Times New Roman" w:hAnsi="Times New Roman" w:eastAsia="方正仿宋简体" w:cs="Times New Roman"/>
          <w:sz w:val="30"/>
          <w:szCs w:val="30"/>
          <w:highlight w:val="none"/>
        </w:rPr>
        <w:t>他们看不到世界</w:t>
      </w:r>
      <w:r>
        <w:rPr>
          <w:rFonts w:hint="default" w:ascii="Times New Roman" w:hAnsi="Times New Roman" w:eastAsia="方正仿宋简体" w:cs="Times New Roman"/>
          <w:sz w:val="30"/>
          <w:szCs w:val="30"/>
          <w:highlight w:val="none"/>
          <w:lang w:eastAsia="zh-CN"/>
        </w:rPr>
        <w:t>，</w:t>
      </w:r>
      <w:r>
        <w:rPr>
          <w:rFonts w:hint="default" w:ascii="Times New Roman" w:hAnsi="Times New Roman" w:eastAsia="方正仿宋简体" w:cs="Times New Roman"/>
          <w:sz w:val="30"/>
          <w:szCs w:val="30"/>
          <w:highlight w:val="none"/>
        </w:rPr>
        <w:t>我要让世界看见他们</w:t>
      </w:r>
      <w:r>
        <w:rPr>
          <w:rFonts w:hint="default" w:ascii="Times New Roman" w:hAnsi="Times New Roman" w:eastAsia="方正仿宋简体" w:cs="Times New Roman"/>
          <w:sz w:val="30"/>
          <w:szCs w:val="30"/>
          <w:highlight w:val="none"/>
          <w:lang w:val="en-US" w:eastAsia="zh-CN"/>
        </w:rPr>
        <w:t>”</w:t>
      </w:r>
      <w:r>
        <w:rPr>
          <w:rFonts w:hint="default" w:ascii="Times New Roman" w:hAnsi="Times New Roman" w:eastAsia="方正仿宋简体" w:cs="Times New Roman"/>
          <w:sz w:val="30"/>
          <w:szCs w:val="30"/>
          <w:highlight w:val="none"/>
        </w:rPr>
        <w:t>等）</w:t>
      </w:r>
    </w:p>
    <w:p w14:paraId="5D9828BA">
      <w:pPr>
        <w:spacing w:line="380" w:lineRule="exact"/>
        <w:ind w:firstLine="602" w:firstLineChars="200"/>
      </w:pPr>
      <w:r>
        <w:rPr>
          <w:rFonts w:hint="eastAsia" w:eastAsia="方正仿宋简体"/>
          <w:b/>
          <w:bCs/>
          <w:sz w:val="30"/>
          <w:szCs w:val="30"/>
          <w:highlight w:val="none"/>
          <w:lang w:val="en-US" w:eastAsia="zh-CN"/>
        </w:rPr>
        <w:t>宣传选树亮点：</w:t>
      </w:r>
      <w:r>
        <w:rPr>
          <w:rFonts w:hint="eastAsia" w:eastAsia="方正仿宋简体"/>
          <w:sz w:val="30"/>
          <w:szCs w:val="30"/>
          <w:highlight w:val="none"/>
        </w:rPr>
        <w:t>请围绕推荐人选的核心事迹，用100字左右说明其</w:t>
      </w:r>
      <w:r>
        <w:rPr>
          <w:rFonts w:hint="eastAsia" w:eastAsia="方正仿宋简体"/>
          <w:sz w:val="30"/>
          <w:szCs w:val="30"/>
          <w:highlight w:val="none"/>
          <w:lang w:val="en-US" w:eastAsia="zh-CN"/>
        </w:rPr>
        <w:t>典型特征和突出事迹。</w:t>
      </w:r>
      <w:bookmarkEnd w:id="0"/>
    </w:p>
    <w:sectPr>
      <w:footerReference r:id="rId3" w:type="default"/>
      <w:pgSz w:w="11906" w:h="16838"/>
      <w:pgMar w:top="1440" w:right="1800" w:bottom="1440" w:left="1800" w:header="851" w:footer="992" w:gutter="0"/>
      <w:pgNumType w:fmt="decimal" w:start="9"/>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45730E">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3B4EA2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Ayd1LdAgAAJA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DJ3Ut0CAAAkBgAADgAAAAAAAAABACAAAAAfAQAAZHJzL2Uyb0RvYy54bWxQSwUG&#10;AAAAAAYABgBZAQAAbgYAAAAA&#10;">
              <v:fill on="f" focussize="0,0"/>
              <v:stroke on="f" weight="0.5pt"/>
              <v:imagedata o:title=""/>
              <o:lock v:ext="edit" aspectratio="f"/>
              <v:textbox inset="0mm,0mm,0mm,0mm" style="mso-fit-shape-to-text:t;">
                <w:txbxContent>
                  <w:p w14:paraId="43B4EA20">
                    <w:pPr>
                      <w:pStyle w:val="2"/>
                    </w:pPr>
                    <w:r>
                      <w:fldChar w:fldCharType="begin"/>
                    </w:r>
                    <w:r>
                      <w:instrText xml:space="preserve"> PAGE  \* MERGEFORMAT </w:instrText>
                    </w:r>
                    <w:r>
                      <w:fldChar w:fldCharType="separate"/>
                    </w:r>
                    <w:r>
                      <w:t>1</w:t>
                    </w:r>
                    <w:r>
                      <w:fldChar w:fldCharType="end"/>
                    </w:r>
                  </w:p>
                </w:txbxContent>
              </v:textbox>
            </v:shape>
          </w:pict>
        </mc:Fallback>
      </mc:AlternateContent>
    </w:r>
  </w:p>
  <w:p w14:paraId="186A38C7">
    <w:pPr>
      <w:pStyle w:val="2"/>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F707CE"/>
    <w:rsid w:val="11F707CE"/>
    <w:rsid w:val="5A2C31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2026-03-03T02:51:00Z</dcterms:created>
  <dc:creator>查亮</dc:creator>
  <cp:lastModifiedBy>查亮</cp:lastModifiedBy>
  <dcterms:modified xsi:type="dcterms:W3CDTF">2026-03-03T02:52:14Z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807A6C646D3E4B809D2B963A0FA09DE5_11</vt:lpwstr>
  </property>
  <property fmtid="{D5CDD505-2E9C-101B-9397-08002B2CF9AE}" pid="4" name="KSOTemplateDocerSaveRecord">
    <vt:lpwstr>eyJoZGlkIjoiOWE4N2YxMGIxNzA3ODEzNmI1YWNjZmU1ODc4NDdmZTgiLCJ1c2VySWQiOiI1Mjg5NzEwNTUifQ==</vt:lpwstr>
  </property>
</Properties>
</file>