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left" w:pos="8100"/>
        </w:tabs>
        <w:spacing w:line="360" w:lineRule="exact"/>
        <w:jc w:val="both"/>
        <w:rPr>
          <w:rFonts w:hint="eastAsia" w:ascii="宋体" w:hAnsi="宋体" w:cs="宋体"/>
          <w:b/>
          <w:color w:val="000000"/>
          <w:kern w:val="0"/>
          <w:sz w:val="44"/>
          <w:szCs w:val="44"/>
          <w:lang w:val="en-US" w:eastAsia="zh-CN"/>
        </w:rPr>
      </w:pPr>
    </w:p>
    <w:p>
      <w:pPr>
        <w:spacing w:line="600" w:lineRule="exact"/>
        <w:jc w:val="center"/>
        <w:rPr>
          <w:rFonts w:hint="default" w:ascii="Times New Roman" w:hAnsi="Times New Roman" w:eastAsia="方正小标宋简体"/>
          <w:b/>
          <w:bCs/>
          <w:sz w:val="44"/>
          <w:szCs w:val="44"/>
          <w:lang w:val="en-US" w:eastAsia="zh-CN"/>
        </w:rPr>
      </w:pPr>
      <w:r>
        <w:rPr>
          <w:rFonts w:hint="eastAsia" w:ascii="Times New Roman" w:hAnsi="Times New Roman" w:eastAsia="方正小标宋简体"/>
          <w:b/>
          <w:bCs/>
          <w:sz w:val="44"/>
          <w:szCs w:val="44"/>
          <w:lang w:val="en-US" w:eastAsia="zh-CN"/>
        </w:rPr>
        <w:t>述职述廉述德报告</w:t>
      </w:r>
    </w:p>
    <w:p>
      <w:pPr>
        <w:widowControl/>
        <w:tabs>
          <w:tab w:val="left" w:pos="8100"/>
        </w:tabs>
        <w:spacing w:line="360" w:lineRule="exact"/>
        <w:jc w:val="center"/>
        <w:rPr>
          <w:rFonts w:hint="eastAsia" w:ascii="宋体" w:hAnsi="宋体" w:cs="宋体"/>
          <w:b/>
          <w:color w:val="000000"/>
          <w:kern w:val="0"/>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宫传革</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202</w:t>
      </w:r>
      <w:r>
        <w:rPr>
          <w:rFonts w:hint="eastAsia" w:ascii="楷体_GB2312" w:hAnsi="楷体_GB2312" w:eastAsia="楷体_GB2312" w:cs="楷体_GB2312"/>
          <w:sz w:val="32"/>
          <w:szCs w:val="32"/>
          <w:lang w:val="en-US" w:eastAsia="zh-CN"/>
        </w:rPr>
        <w:t>3</w:t>
      </w:r>
      <w:r>
        <w:rPr>
          <w:rFonts w:hint="eastAsia" w:ascii="楷体_GB2312" w:hAnsi="楷体_GB2312" w:eastAsia="楷体_GB2312" w:cs="楷体_GB2312"/>
          <w:sz w:val="32"/>
          <w:szCs w:val="32"/>
        </w:rPr>
        <w:t xml:space="preserve">年2月 </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楷体_GB2312" w:hAnsi="楷体_GB2312" w:eastAsia="楷体_GB2312" w:cs="楷体_GB2312"/>
          <w:sz w:val="32"/>
          <w:szCs w:val="32"/>
        </w:rPr>
      </w:pPr>
    </w:p>
    <w:p>
      <w:pPr>
        <w:tabs>
          <w:tab w:val="left" w:pos="8100"/>
        </w:tabs>
        <w:spacing w:line="600" w:lineRule="exact"/>
        <w:ind w:firstLine="640" w:firstLineChars="200"/>
        <w:rPr>
          <w:rFonts w:hint="eastAsia"/>
        </w:rPr>
      </w:pPr>
      <w:r>
        <w:rPr>
          <w:rFonts w:hint="eastAsia" w:ascii="仿宋_GB2312" w:eastAsia="仿宋_GB2312"/>
          <w:sz w:val="32"/>
          <w:szCs w:val="32"/>
        </w:rPr>
        <w:t>202</w:t>
      </w:r>
      <w:r>
        <w:rPr>
          <w:rFonts w:hint="eastAsia" w:ascii="仿宋_GB2312" w:eastAsia="仿宋_GB2312"/>
          <w:sz w:val="32"/>
          <w:szCs w:val="32"/>
          <w:lang w:val="en-US" w:eastAsia="zh-CN"/>
        </w:rPr>
        <w:t>2年</w:t>
      </w:r>
      <w:r>
        <w:rPr>
          <w:rFonts w:hint="eastAsia" w:ascii="仿宋_GB2312" w:eastAsia="仿宋_GB2312"/>
          <w:sz w:val="32"/>
          <w:szCs w:val="32"/>
        </w:rPr>
        <w:t>财资处在校党委和行政的正确领导下，紧紧围绕学校党政工作要点，加强自身队伍建设、</w:t>
      </w:r>
      <w:r>
        <w:rPr>
          <w:rFonts w:hint="eastAsia" w:ascii="仿宋_GB2312" w:eastAsia="仿宋_GB2312"/>
          <w:sz w:val="32"/>
          <w:szCs w:val="32"/>
          <w:lang w:val="en-US" w:eastAsia="zh-CN"/>
        </w:rPr>
        <w:t>提升服务水平，进一步严肃财经纪律，统筹管理，讲求绩效和收支平衡，努力为学校高水平大学</w:t>
      </w:r>
      <w:r>
        <w:rPr>
          <w:rFonts w:hint="eastAsia" w:ascii="仿宋_GB2312" w:eastAsia="仿宋_GB2312"/>
          <w:sz w:val="32"/>
          <w:szCs w:val="32"/>
        </w:rPr>
        <w:t>建设和各项事业发展提供</w:t>
      </w:r>
      <w:r>
        <w:rPr>
          <w:rFonts w:hint="eastAsia" w:ascii="仿宋_GB2312" w:eastAsia="仿宋_GB2312"/>
          <w:sz w:val="32"/>
          <w:szCs w:val="32"/>
          <w:lang w:val="en-US" w:eastAsia="zh-CN"/>
        </w:rPr>
        <w:t>支持</w:t>
      </w:r>
      <w:r>
        <w:rPr>
          <w:rFonts w:hint="eastAsia" w:ascii="仿宋_GB2312" w:eastAsia="仿宋_GB2312"/>
          <w:sz w:val="32"/>
          <w:szCs w:val="32"/>
        </w:rPr>
        <w:t>保障。</w:t>
      </w:r>
    </w:p>
    <w:p>
      <w:pPr>
        <w:pStyle w:val="4"/>
        <w:numPr>
          <w:numId w:val="0"/>
        </w:numPr>
        <w:spacing w:line="600" w:lineRule="atLeast"/>
        <w:jc w:val="center"/>
        <w:rPr>
          <w:rFonts w:hint="eastAsia" w:ascii="黑体" w:hAnsi="黑体" w:eastAsia="黑体"/>
          <w:sz w:val="36"/>
          <w:szCs w:val="36"/>
        </w:rPr>
      </w:pPr>
      <w:r>
        <w:rPr>
          <w:rFonts w:hint="eastAsia" w:ascii="黑体" w:hAnsi="黑体" w:eastAsia="黑体"/>
          <w:sz w:val="36"/>
          <w:szCs w:val="36"/>
          <w:lang w:val="en-US" w:eastAsia="zh-CN"/>
        </w:rPr>
        <w:t xml:space="preserve">第一部分 </w:t>
      </w:r>
      <w:r>
        <w:rPr>
          <w:rFonts w:hint="eastAsia" w:ascii="黑体" w:hAnsi="黑体" w:eastAsia="黑体"/>
          <w:sz w:val="36"/>
          <w:szCs w:val="36"/>
        </w:rPr>
        <w:t>党的建设</w:t>
      </w:r>
    </w:p>
    <w:p>
      <w:pPr>
        <w:keepNext w:val="0"/>
        <w:keepLines w:val="0"/>
        <w:pageBreakBefore w:val="0"/>
        <w:widowControl/>
        <w:tabs>
          <w:tab w:val="left" w:pos="8100"/>
        </w:tabs>
        <w:kinsoku/>
        <w:wordWrap/>
        <w:overflowPunct/>
        <w:topLinePunct w:val="0"/>
        <w:autoSpaceDE/>
        <w:autoSpaceDN/>
        <w:bidi w:val="0"/>
        <w:adjustRightInd/>
        <w:snapToGrid/>
        <w:spacing w:line="600" w:lineRule="exact"/>
        <w:ind w:firstLine="640" w:firstLineChars="200"/>
        <w:jc w:val="left"/>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 统筹部署，推动党风廉政建设</w:t>
      </w:r>
    </w:p>
    <w:p>
      <w:pPr>
        <w:keepNext w:val="0"/>
        <w:keepLines w:val="0"/>
        <w:pageBreakBefore w:val="0"/>
        <w:tabs>
          <w:tab w:val="left" w:pos="8100"/>
        </w:tabs>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根据学校统一部署，财资处支部在抓好业务工作的同时抓好党风廉政建设。党支部积极开展党风廉政教育活动，自觉遵循《中国共产党廉政自律准则》、《民法典》等法律法规。严守政治纪律，政治规矩。开展用身边事教育身边人，教育引导党员同志深刻认识形式主义、官僚主义的严重危害性，增强改作风、转作风的政治自觉和思想自觉。结合淮南联合大学党风廉政建设工作任务，把党风廉政建设与日常工作同推进、同落实。</w:t>
      </w:r>
    </w:p>
    <w:p>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（二）深化理念，提高党性修养</w:t>
      </w:r>
    </w:p>
    <w:p>
      <w:pPr>
        <w:keepNext w:val="0"/>
        <w:keepLines w:val="0"/>
        <w:pageBreakBefore w:val="0"/>
        <w:tabs>
          <w:tab w:val="left" w:pos="8100"/>
        </w:tabs>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加强学习教育，财资处支部认真学习习近平总书记在中国共产党第二十次全国代表大会上报告精神，学习《习近平谈治国理政》第四卷，《习近平法治思想学习纲要》和《中国共产党宣传工作简史》。学习《习近平、赵乐际同志在第十九届中央纪律检查委员会第六次全体会议上的讲话和报告》、《安徽省高校意识形态工作分类管理实施方案》。通过学习教育，深化理想信念、道德品行、优良传统和党风、党纪教育，引导党员同志进一步提高党性修养，自觉拒腐防变。</w:t>
      </w:r>
    </w:p>
    <w:p>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（三）加强学习,提升管理服务水平</w:t>
      </w:r>
    </w:p>
    <w:p>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640" w:firstLineChars="200"/>
        <w:textAlignment w:val="auto"/>
        <w:rPr>
          <w:rFonts w:ascii="楷体_GB2312" w:eastAsia="楷体_GB2312"/>
          <w:sz w:val="32"/>
          <w:szCs w:val="32"/>
        </w:rPr>
      </w:pPr>
      <w:r>
        <w:rPr>
          <w:rFonts w:hint="eastAsia" w:ascii="仿宋" w:hAnsi="仿宋" w:eastAsia="仿宋" w:cs="仿宋"/>
          <w:sz w:val="32"/>
          <w:szCs w:val="32"/>
        </w:rPr>
        <w:t>认真学习《中国共产党纪律检查委员会工作条例》、学习《淮南市纪委监委关于加强政府投资工程建设项目监督工作的暂行办法》和《淮南市纪委监委关于规范政商交往行为构建亲清政商关系的工作意见》，切实把学习成果转化为工作动力，切实提高思</w:t>
      </w:r>
      <w:r>
        <w:rPr>
          <w:rFonts w:hint="eastAsia" w:ascii="仿宋" w:hAnsi="仿宋" w:eastAsia="仿宋"/>
          <w:sz w:val="32"/>
          <w:szCs w:val="32"/>
        </w:rPr>
        <w:t>想认识，深刻领会《条例》的核心要义和精神实质，认真做好学习宣传。认真贯彻市纪委监委文件精神，严明廉洁纪律，加大监督力度。</w:t>
      </w:r>
    </w:p>
    <w:p>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640" w:firstLineChars="200"/>
        <w:textAlignment w:val="auto"/>
        <w:rPr>
          <w:rFonts w:ascii="楷体" w:hAnsi="楷体" w:eastAsia="楷体" w:cs="楷体"/>
          <w:sz w:val="32"/>
          <w:szCs w:val="32"/>
        </w:rPr>
      </w:pPr>
      <w:bookmarkStart w:id="0" w:name="_Hlk127172864"/>
      <w:r>
        <w:rPr>
          <w:rFonts w:hint="eastAsia" w:ascii="楷体" w:hAnsi="楷体" w:eastAsia="楷体" w:cs="楷体"/>
          <w:sz w:val="32"/>
          <w:szCs w:val="32"/>
        </w:rPr>
        <w:t>（四）</w:t>
      </w:r>
      <w:bookmarkEnd w:id="0"/>
      <w:r>
        <w:rPr>
          <w:rFonts w:hint="eastAsia" w:ascii="楷体" w:hAnsi="楷体" w:eastAsia="楷体" w:cs="楷体"/>
          <w:sz w:val="32"/>
          <w:szCs w:val="32"/>
        </w:rPr>
        <w:t>加强组织建设，做好党建基础工作</w:t>
      </w:r>
    </w:p>
    <w:p>
      <w:pPr>
        <w:keepNext w:val="0"/>
        <w:keepLines w:val="0"/>
        <w:pageBreakBefore w:val="0"/>
        <w:tabs>
          <w:tab w:val="left" w:pos="8100"/>
        </w:tabs>
        <w:kinsoku/>
        <w:wordWrap/>
        <w:overflowPunct/>
        <w:topLinePunct w:val="0"/>
        <w:autoSpaceDE/>
        <w:autoSpaceDN/>
        <w:bidi w:val="0"/>
        <w:adjustRightInd/>
        <w:snapToGrid/>
        <w:spacing w:line="600" w:lineRule="exact"/>
        <w:ind w:firstLine="640" w:firstLineChars="200"/>
        <w:textAlignment w:val="auto"/>
        <w:rPr>
          <w:rFonts w:ascii="黑体" w:hAnsi="黑体" w:eastAsia="黑体"/>
          <w:sz w:val="32"/>
          <w:szCs w:val="32"/>
        </w:rPr>
      </w:pPr>
      <w:r>
        <w:rPr>
          <w:rFonts w:hint="eastAsia" w:ascii="仿宋" w:hAnsi="仿宋" w:eastAsia="仿宋" w:cs="仿宋"/>
          <w:bCs/>
          <w:color w:val="0D0D0D"/>
          <w:kern w:val="0"/>
          <w:sz w:val="32"/>
          <w:szCs w:val="32"/>
          <w:shd w:val="clear" w:color="auto" w:fill="FFFFFF"/>
        </w:rPr>
        <w:t>加强组织建设，按照《中国共产党支部工作条例》（试行）要求，认真开展好“三会一课”及“党员活动日”工作，以集体学习为主，自发学习为辅，每个党员做好学习笔记，定期进行学习交流。定期召开全体党员大会、支部委员会、开展党课讲座，传达和学习上级有关文件和精神，做好党建基础工作。</w:t>
      </w:r>
    </w:p>
    <w:p>
      <w:pPr>
        <w:pStyle w:val="4"/>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黑体" w:hAnsi="黑体" w:eastAsia="黑体"/>
          <w:sz w:val="36"/>
          <w:szCs w:val="36"/>
        </w:rPr>
      </w:pPr>
      <w:r>
        <w:rPr>
          <w:rFonts w:hint="eastAsia" w:ascii="黑体" w:hAnsi="黑体" w:eastAsia="黑体"/>
          <w:sz w:val="36"/>
          <w:szCs w:val="36"/>
        </w:rPr>
        <w:t>第二部分 行政工作</w:t>
      </w:r>
    </w:p>
    <w:p>
      <w:pPr>
        <w:keepNext w:val="0"/>
        <w:keepLines w:val="0"/>
        <w:pageBreakBefore w:val="0"/>
        <w:widowControl/>
        <w:tabs>
          <w:tab w:val="left" w:pos="8100"/>
        </w:tabs>
        <w:kinsoku/>
        <w:wordWrap/>
        <w:overflowPunct/>
        <w:topLinePunct w:val="0"/>
        <w:autoSpaceDE/>
        <w:autoSpaceDN/>
        <w:bidi w:val="0"/>
        <w:adjustRightInd/>
        <w:snapToGrid/>
        <w:spacing w:line="600" w:lineRule="exact"/>
        <w:ind w:firstLine="640" w:firstLineChars="200"/>
        <w:jc w:val="left"/>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（一）做好预决算编制工作，加强校内预算执行管理</w:t>
      </w:r>
    </w:p>
    <w:p>
      <w:pPr>
        <w:keepNext w:val="0"/>
        <w:keepLines w:val="0"/>
        <w:pageBreakBefore w:val="0"/>
        <w:tabs>
          <w:tab w:val="left" w:pos="8100"/>
        </w:tabs>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根据学校的发展计划和目标以及高水平大学建设需要，在20</w:t>
      </w:r>
      <w:r>
        <w:rPr>
          <w:rFonts w:hint="eastAsia" w:ascii="仿宋_GB2312" w:eastAsia="仿宋_GB2312"/>
          <w:sz w:val="32"/>
          <w:szCs w:val="32"/>
          <w:lang w:val="en-US" w:eastAsia="zh-CN"/>
        </w:rPr>
        <w:t>21</w:t>
      </w:r>
      <w:r>
        <w:rPr>
          <w:rFonts w:hint="eastAsia" w:ascii="仿宋_GB2312" w:eastAsia="仿宋_GB2312"/>
          <w:sz w:val="32"/>
          <w:szCs w:val="32"/>
        </w:rPr>
        <w:t>年财务预算编制和执行分析的基础上，结合学校管理的需要，通过调查研究，科学合理编制</w:t>
      </w:r>
      <w:bookmarkStart w:id="1" w:name="_GoBack"/>
      <w:bookmarkEnd w:id="1"/>
      <w:r>
        <w:rPr>
          <w:rFonts w:hint="eastAsia" w:ascii="仿宋_GB2312" w:eastAsia="仿宋_GB2312"/>
          <w:sz w:val="32"/>
          <w:szCs w:val="32"/>
        </w:rPr>
        <w:t>预算，严格执行和控制预算，并定期对我校经费预算执行情况进行考核与分析，强化预算的严肃性与约束性，逐步增强学校经费统筹与管理能力。近两年来，我校预、决算工作均获市“先进单位”荣誉称号。</w:t>
      </w:r>
    </w:p>
    <w:p>
      <w:pPr>
        <w:keepNext w:val="0"/>
        <w:keepLines w:val="0"/>
        <w:pageBreakBefore w:val="0"/>
        <w:widowControl/>
        <w:tabs>
          <w:tab w:val="left" w:pos="8100"/>
        </w:tabs>
        <w:kinsoku/>
        <w:wordWrap/>
        <w:overflowPunct/>
        <w:topLinePunct w:val="0"/>
        <w:autoSpaceDE/>
        <w:autoSpaceDN/>
        <w:bidi w:val="0"/>
        <w:adjustRightInd/>
        <w:snapToGrid/>
        <w:spacing w:line="600" w:lineRule="exact"/>
        <w:ind w:firstLine="640" w:firstLineChars="200"/>
        <w:jc w:val="left"/>
        <w:textAlignment w:val="auto"/>
        <w:rPr>
          <w:rFonts w:hint="eastAsia" w:ascii="楷体_GB2312" w:eastAsia="楷体_GB2312"/>
          <w:sz w:val="32"/>
          <w:szCs w:val="32"/>
        </w:rPr>
      </w:pPr>
      <w:r>
        <w:rPr>
          <w:rFonts w:hint="eastAsia" w:ascii="楷体_GB2312" w:eastAsia="楷体_GB2312"/>
          <w:sz w:val="32"/>
          <w:szCs w:val="32"/>
        </w:rPr>
        <w:t>（二）加强资金管理，依法多渠道筹集办学资金</w:t>
      </w:r>
    </w:p>
    <w:p>
      <w:pPr>
        <w:keepNext w:val="0"/>
        <w:keepLines w:val="0"/>
        <w:pageBreakBefore w:val="0"/>
        <w:widowControl/>
        <w:tabs>
          <w:tab w:val="left" w:pos="8100"/>
        </w:tabs>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根据学校年度基本建设和事业发展计划以及财务预算执行进度，积极筹措与合理调度资金，正确处理局部与整体、近期与长远的资金需求关系，</w:t>
      </w:r>
      <w:r>
        <w:rPr>
          <w:rFonts w:hint="eastAsia" w:ascii="仿宋_GB2312" w:eastAsia="仿宋_GB2312"/>
          <w:sz w:val="32"/>
          <w:szCs w:val="32"/>
          <w:lang w:val="en-US" w:eastAsia="zh-CN"/>
        </w:rPr>
        <w:t>加强内部控制，提高资金使用效益，</w:t>
      </w:r>
      <w:r>
        <w:rPr>
          <w:rFonts w:hint="eastAsia" w:ascii="仿宋_GB2312" w:eastAsia="仿宋_GB2312"/>
          <w:sz w:val="32"/>
          <w:szCs w:val="32"/>
        </w:rPr>
        <w:t>使有限的资金发挥最大的效用，努力保证教学、科研</w:t>
      </w:r>
      <w:r>
        <w:rPr>
          <w:rFonts w:hint="eastAsia" w:ascii="仿宋_GB2312" w:eastAsia="仿宋_GB2312"/>
          <w:sz w:val="32"/>
          <w:szCs w:val="32"/>
          <w:lang w:eastAsia="zh-CN"/>
        </w:rPr>
        <w:t>、</w:t>
      </w:r>
      <w:r>
        <w:rPr>
          <w:rFonts w:hint="eastAsia" w:ascii="仿宋_GB2312" w:eastAsia="仿宋_GB2312"/>
          <w:sz w:val="32"/>
          <w:szCs w:val="32"/>
          <w:lang w:val="en-US" w:eastAsia="zh-CN"/>
        </w:rPr>
        <w:t>实验、基建以及后勤服务</w:t>
      </w:r>
      <w:r>
        <w:rPr>
          <w:rFonts w:hint="eastAsia" w:ascii="仿宋_GB2312" w:eastAsia="仿宋_GB2312"/>
          <w:sz w:val="32"/>
          <w:szCs w:val="32"/>
        </w:rPr>
        <w:t>等方面的资金需要。</w:t>
      </w:r>
    </w:p>
    <w:p>
      <w:pPr>
        <w:keepNext w:val="0"/>
        <w:keepLines w:val="0"/>
        <w:pageBreakBefore w:val="0"/>
        <w:tabs>
          <w:tab w:val="left" w:pos="540"/>
          <w:tab w:val="left" w:pos="8100"/>
        </w:tabs>
        <w:kinsoku/>
        <w:wordWrap/>
        <w:overflowPunct/>
        <w:topLinePunct w:val="0"/>
        <w:autoSpaceDE/>
        <w:autoSpaceDN/>
        <w:bidi w:val="0"/>
        <w:adjustRightInd/>
        <w:snapToGrid/>
        <w:spacing w:line="600" w:lineRule="exact"/>
        <w:ind w:firstLine="636" w:firstLineChars="199"/>
        <w:textAlignment w:val="auto"/>
        <w:rPr>
          <w:rFonts w:hint="eastAsia" w:ascii="仿宋_GB2312" w:eastAsia="仿宋_GB2312"/>
          <w:sz w:val="32"/>
          <w:szCs w:val="32"/>
        </w:rPr>
      </w:pPr>
      <w:r>
        <w:rPr>
          <w:rFonts w:hint="eastAsia" w:ascii="仿宋_GB2312" w:eastAsia="仿宋_GB2312"/>
          <w:sz w:val="32"/>
          <w:szCs w:val="32"/>
          <w:lang w:val="en-US" w:eastAsia="zh-CN"/>
        </w:rPr>
        <w:t>1.</w:t>
      </w:r>
      <w:r>
        <w:rPr>
          <w:rFonts w:hint="eastAsia" w:ascii="仿宋_GB2312" w:eastAsia="仿宋_GB2312"/>
          <w:sz w:val="32"/>
          <w:szCs w:val="32"/>
        </w:rPr>
        <w:t>202</w:t>
      </w:r>
      <w:r>
        <w:rPr>
          <w:rFonts w:hint="eastAsia" w:ascii="仿宋_GB2312" w:eastAsia="仿宋_GB2312"/>
          <w:sz w:val="32"/>
          <w:szCs w:val="32"/>
          <w:lang w:val="en-US" w:eastAsia="zh-CN"/>
        </w:rPr>
        <w:t>2</w:t>
      </w:r>
      <w:r>
        <w:rPr>
          <w:rFonts w:hint="eastAsia" w:ascii="仿宋_GB2312" w:eastAsia="仿宋_GB2312"/>
          <w:sz w:val="32"/>
          <w:szCs w:val="32"/>
        </w:rPr>
        <w:t>年总收入</w:t>
      </w:r>
      <w:r>
        <w:rPr>
          <w:rFonts w:hint="eastAsia" w:ascii="仿宋_GB2312" w:eastAsia="仿宋_GB2312"/>
          <w:sz w:val="32"/>
          <w:szCs w:val="32"/>
          <w:lang w:val="en-US" w:eastAsia="zh-CN"/>
        </w:rPr>
        <w:t>14813.96</w:t>
      </w:r>
      <w:r>
        <w:rPr>
          <w:rFonts w:hint="eastAsia" w:ascii="仿宋_GB2312" w:eastAsia="仿宋_GB2312"/>
          <w:sz w:val="32"/>
          <w:szCs w:val="32"/>
        </w:rPr>
        <w:t>万元。其中一般预算收入</w:t>
      </w:r>
      <w:r>
        <w:rPr>
          <w:rFonts w:hint="eastAsia" w:ascii="仿宋_GB2312" w:eastAsia="仿宋_GB2312"/>
          <w:sz w:val="32"/>
          <w:szCs w:val="32"/>
          <w:lang w:val="en-US" w:eastAsia="zh-CN"/>
        </w:rPr>
        <w:t>11058.38</w:t>
      </w:r>
      <w:r>
        <w:rPr>
          <w:rFonts w:hint="eastAsia" w:ascii="仿宋_GB2312" w:eastAsia="仿宋_GB2312"/>
          <w:sz w:val="32"/>
          <w:szCs w:val="32"/>
        </w:rPr>
        <w:t>万元；事业收入</w:t>
      </w:r>
      <w:r>
        <w:rPr>
          <w:rFonts w:hint="eastAsia" w:ascii="仿宋_GB2312" w:eastAsia="仿宋_GB2312"/>
          <w:sz w:val="32"/>
          <w:szCs w:val="32"/>
          <w:lang w:val="en-US" w:eastAsia="zh-CN"/>
        </w:rPr>
        <w:t>3611.31</w:t>
      </w:r>
      <w:r>
        <w:rPr>
          <w:rFonts w:hint="eastAsia" w:ascii="仿宋_GB2312" w:eastAsia="仿宋_GB2312"/>
          <w:sz w:val="32"/>
          <w:szCs w:val="32"/>
        </w:rPr>
        <w:t>万元；其他收入</w:t>
      </w:r>
      <w:r>
        <w:rPr>
          <w:rFonts w:hint="eastAsia" w:ascii="仿宋_GB2312" w:eastAsia="仿宋_GB2312"/>
          <w:sz w:val="32"/>
          <w:szCs w:val="32"/>
          <w:lang w:val="en-US" w:eastAsia="zh-CN"/>
        </w:rPr>
        <w:t>144.28</w:t>
      </w:r>
      <w:r>
        <w:rPr>
          <w:rFonts w:hint="eastAsia" w:ascii="仿宋_GB2312" w:eastAsia="仿宋_GB2312"/>
          <w:sz w:val="32"/>
          <w:szCs w:val="32"/>
        </w:rPr>
        <w:t>万元。202</w:t>
      </w:r>
      <w:r>
        <w:rPr>
          <w:rFonts w:hint="eastAsia" w:ascii="仿宋_GB2312" w:eastAsia="仿宋_GB2312"/>
          <w:sz w:val="32"/>
          <w:szCs w:val="32"/>
          <w:lang w:val="en-US" w:eastAsia="zh-CN"/>
        </w:rPr>
        <w:t>2</w:t>
      </w:r>
      <w:r>
        <w:rPr>
          <w:rFonts w:hint="eastAsia" w:ascii="仿宋_GB2312" w:eastAsia="仿宋_GB2312"/>
          <w:sz w:val="32"/>
          <w:szCs w:val="32"/>
        </w:rPr>
        <w:t>年支出</w:t>
      </w:r>
      <w:r>
        <w:rPr>
          <w:rFonts w:hint="eastAsia" w:ascii="仿宋_GB2312" w:eastAsia="仿宋_GB2312"/>
          <w:sz w:val="32"/>
          <w:szCs w:val="32"/>
          <w:lang w:val="en-US" w:eastAsia="zh-CN"/>
        </w:rPr>
        <w:t>12733.24</w:t>
      </w:r>
      <w:r>
        <w:rPr>
          <w:rFonts w:hint="eastAsia" w:ascii="仿宋_GB2312" w:eastAsia="仿宋_GB2312"/>
          <w:sz w:val="32"/>
          <w:szCs w:val="32"/>
        </w:rPr>
        <w:t>万元。202</w:t>
      </w:r>
      <w:r>
        <w:rPr>
          <w:rFonts w:hint="eastAsia" w:ascii="仿宋_GB2312" w:eastAsia="仿宋_GB2312"/>
          <w:sz w:val="32"/>
          <w:szCs w:val="32"/>
          <w:lang w:val="en-US" w:eastAsia="zh-CN"/>
        </w:rPr>
        <w:t>2</w:t>
      </w:r>
      <w:r>
        <w:rPr>
          <w:rFonts w:hint="eastAsia" w:ascii="仿宋_GB2312" w:eastAsia="仿宋_GB2312"/>
          <w:sz w:val="32"/>
          <w:szCs w:val="32"/>
        </w:rPr>
        <w:t>年偿还贷款本金</w:t>
      </w:r>
      <w:r>
        <w:rPr>
          <w:rFonts w:hint="eastAsia" w:ascii="仿宋_GB2312" w:eastAsia="仿宋_GB2312"/>
          <w:sz w:val="32"/>
          <w:szCs w:val="32"/>
          <w:lang w:val="en-US" w:eastAsia="zh-CN"/>
        </w:rPr>
        <w:t>81.78</w:t>
      </w:r>
      <w:r>
        <w:rPr>
          <w:rFonts w:hint="eastAsia" w:ascii="仿宋_GB2312" w:eastAsia="仿宋_GB2312"/>
          <w:sz w:val="32"/>
          <w:szCs w:val="32"/>
        </w:rPr>
        <w:t>万元，利息</w:t>
      </w:r>
      <w:r>
        <w:rPr>
          <w:rFonts w:hint="eastAsia" w:ascii="仿宋_GB2312" w:eastAsia="仿宋_GB2312"/>
          <w:sz w:val="32"/>
          <w:szCs w:val="32"/>
          <w:lang w:val="en-US" w:eastAsia="zh-CN"/>
        </w:rPr>
        <w:t>160.98</w:t>
      </w:r>
      <w:r>
        <w:rPr>
          <w:rFonts w:hint="eastAsia" w:ascii="仿宋_GB2312" w:eastAsia="仿宋_GB2312"/>
          <w:sz w:val="32"/>
          <w:szCs w:val="32"/>
        </w:rPr>
        <w:t>万元，截至目前仍有</w:t>
      </w:r>
      <w:r>
        <w:rPr>
          <w:rFonts w:hint="eastAsia" w:ascii="仿宋_GB2312" w:eastAsia="仿宋_GB2312"/>
          <w:sz w:val="32"/>
          <w:szCs w:val="32"/>
          <w:lang w:val="en-US" w:eastAsia="zh-CN"/>
        </w:rPr>
        <w:t>4000</w:t>
      </w:r>
      <w:r>
        <w:rPr>
          <w:rFonts w:hint="eastAsia" w:ascii="仿宋_GB2312" w:eastAsia="仿宋_GB2312"/>
          <w:sz w:val="32"/>
          <w:szCs w:val="32"/>
        </w:rPr>
        <w:t>万元的债务需要偿还。</w:t>
      </w:r>
    </w:p>
    <w:p>
      <w:pPr>
        <w:keepNext w:val="0"/>
        <w:keepLines w:val="0"/>
        <w:pageBreakBefore w:val="0"/>
        <w:tabs>
          <w:tab w:val="left" w:pos="540"/>
          <w:tab w:val="left" w:pos="8100"/>
        </w:tabs>
        <w:kinsoku/>
        <w:wordWrap/>
        <w:overflowPunct/>
        <w:topLinePunct w:val="0"/>
        <w:autoSpaceDE/>
        <w:autoSpaceDN/>
        <w:bidi w:val="0"/>
        <w:adjustRightInd/>
        <w:snapToGrid/>
        <w:spacing w:line="600" w:lineRule="exact"/>
        <w:ind w:firstLine="636" w:firstLineChars="199"/>
        <w:textAlignment w:val="auto"/>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完成了20</w:t>
      </w:r>
      <w:r>
        <w:rPr>
          <w:rFonts w:hint="eastAsia" w:ascii="仿宋_GB2312" w:eastAsia="仿宋_GB2312"/>
          <w:sz w:val="32"/>
          <w:szCs w:val="32"/>
          <w:lang w:val="en-US" w:eastAsia="zh-CN"/>
        </w:rPr>
        <w:t>21</w:t>
      </w:r>
      <w:r>
        <w:rPr>
          <w:rFonts w:hint="eastAsia" w:ascii="仿宋_GB2312" w:eastAsia="仿宋_GB2312"/>
          <w:sz w:val="32"/>
          <w:szCs w:val="32"/>
        </w:rPr>
        <w:t>年度部门决算报表，并于202</w:t>
      </w:r>
      <w:r>
        <w:rPr>
          <w:rFonts w:hint="eastAsia" w:ascii="仿宋_GB2312" w:eastAsia="仿宋_GB2312"/>
          <w:sz w:val="32"/>
          <w:szCs w:val="32"/>
          <w:lang w:val="en-US" w:eastAsia="zh-CN"/>
        </w:rPr>
        <w:t>2</w:t>
      </w:r>
      <w:r>
        <w:rPr>
          <w:rFonts w:hint="eastAsia" w:ascii="仿宋_GB2312" w:eastAsia="仿宋_GB2312"/>
          <w:sz w:val="32"/>
          <w:szCs w:val="32"/>
        </w:rPr>
        <w:t>年8月在市政府网站公开决算情况。编制财务工作报告，并向校“两代会”报告，编制“高基”报表并及时准确上报，编制202</w:t>
      </w:r>
      <w:r>
        <w:rPr>
          <w:rFonts w:hint="eastAsia" w:ascii="仿宋_GB2312" w:eastAsia="仿宋_GB2312"/>
          <w:sz w:val="32"/>
          <w:szCs w:val="32"/>
          <w:lang w:val="en-US" w:eastAsia="zh-CN"/>
        </w:rPr>
        <w:t>2</w:t>
      </w:r>
      <w:r>
        <w:rPr>
          <w:rFonts w:hint="eastAsia" w:ascii="仿宋_GB2312" w:eastAsia="仿宋_GB2312"/>
          <w:sz w:val="32"/>
          <w:szCs w:val="32"/>
        </w:rPr>
        <w:t>年决算报表和202</w:t>
      </w:r>
      <w:r>
        <w:rPr>
          <w:rFonts w:hint="eastAsia" w:ascii="仿宋_GB2312" w:eastAsia="仿宋_GB2312"/>
          <w:sz w:val="32"/>
          <w:szCs w:val="32"/>
          <w:lang w:val="en-US" w:eastAsia="zh-CN"/>
        </w:rPr>
        <w:t>3</w:t>
      </w:r>
      <w:r>
        <w:rPr>
          <w:rFonts w:hint="eastAsia" w:ascii="仿宋_GB2312" w:eastAsia="仿宋_GB2312"/>
          <w:sz w:val="32"/>
          <w:szCs w:val="32"/>
        </w:rPr>
        <w:t xml:space="preserve">年预算报表。            </w:t>
      </w:r>
    </w:p>
    <w:p>
      <w:pPr>
        <w:keepNext w:val="0"/>
        <w:keepLines w:val="0"/>
        <w:pageBreakBefore w:val="0"/>
        <w:widowControl/>
        <w:tabs>
          <w:tab w:val="left" w:pos="8100"/>
        </w:tabs>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lang w:val="en-US" w:eastAsia="zh-CN"/>
        </w:rPr>
        <w:t>3.为进一步提高行政工作效率，加强财务改革与信息化建设需要，全面推进网上报销，方便了广大教职工，取得了良好效果</w:t>
      </w:r>
      <w:r>
        <w:rPr>
          <w:rFonts w:hint="eastAsia" w:ascii="仿宋_GB2312" w:eastAsia="仿宋_GB2312"/>
          <w:sz w:val="32"/>
          <w:szCs w:val="32"/>
        </w:rPr>
        <w:t>。</w:t>
      </w:r>
    </w:p>
    <w:p>
      <w:pPr>
        <w:keepNext w:val="0"/>
        <w:keepLines w:val="0"/>
        <w:pageBreakBefore w:val="0"/>
        <w:widowControl/>
        <w:tabs>
          <w:tab w:val="left" w:pos="8100"/>
        </w:tabs>
        <w:kinsoku/>
        <w:wordWrap/>
        <w:overflowPunct/>
        <w:topLinePunct w:val="0"/>
        <w:autoSpaceDE/>
        <w:autoSpaceDN/>
        <w:bidi w:val="0"/>
        <w:adjustRightInd/>
        <w:snapToGrid/>
        <w:spacing w:line="600" w:lineRule="exact"/>
        <w:ind w:firstLine="640" w:firstLineChars="200"/>
        <w:jc w:val="left"/>
        <w:textAlignment w:val="auto"/>
        <w:rPr>
          <w:rFonts w:hint="eastAsia" w:ascii="楷体_GB2312" w:eastAsia="楷体_GB2312"/>
          <w:sz w:val="32"/>
          <w:szCs w:val="32"/>
        </w:rPr>
      </w:pPr>
      <w:r>
        <w:rPr>
          <w:rFonts w:hint="eastAsia" w:ascii="楷体_GB2312" w:eastAsia="楷体_GB2312"/>
          <w:sz w:val="32"/>
          <w:szCs w:val="32"/>
        </w:rPr>
        <w:t>（三）加强收入管理，规范收费行为</w:t>
      </w:r>
    </w:p>
    <w:p>
      <w:pPr>
        <w:keepNext w:val="0"/>
        <w:keepLines w:val="0"/>
        <w:pageBreakBefore w:val="0"/>
        <w:tabs>
          <w:tab w:val="left" w:pos="540"/>
          <w:tab w:val="left" w:pos="8100"/>
        </w:tabs>
        <w:kinsoku/>
        <w:wordWrap/>
        <w:overflowPunct/>
        <w:topLinePunct w:val="0"/>
        <w:autoSpaceDE/>
        <w:autoSpaceDN/>
        <w:bidi w:val="0"/>
        <w:adjustRightInd/>
        <w:snapToGrid/>
        <w:spacing w:line="600" w:lineRule="exact"/>
        <w:ind w:firstLine="636" w:firstLineChars="199"/>
        <w:textAlignment w:val="auto"/>
        <w:rPr>
          <w:rFonts w:hint="eastAsia" w:ascii="仿宋_GB2312" w:eastAsia="仿宋_GB2312"/>
          <w:sz w:val="32"/>
          <w:szCs w:val="32"/>
        </w:rPr>
      </w:pPr>
      <w:r>
        <w:rPr>
          <w:rFonts w:hint="eastAsia" w:ascii="仿宋_GB2312" w:eastAsia="仿宋_GB2312"/>
          <w:sz w:val="32"/>
          <w:szCs w:val="32"/>
          <w:lang w:val="en-US" w:eastAsia="zh-CN"/>
        </w:rPr>
        <w:t>1.</w:t>
      </w:r>
      <w:r>
        <w:rPr>
          <w:rFonts w:hint="eastAsia" w:ascii="仿宋_GB2312" w:eastAsia="仿宋_GB2312"/>
          <w:sz w:val="32"/>
          <w:szCs w:val="32"/>
        </w:rPr>
        <w:t>严格执行国家票据管理规定，做好各种票据的管理工作，定期检查票据使用情况，保证票据的安全和完整并及时核销已用票据。</w:t>
      </w:r>
    </w:p>
    <w:p>
      <w:pPr>
        <w:keepNext w:val="0"/>
        <w:keepLines w:val="0"/>
        <w:pageBreakBefore w:val="0"/>
        <w:tabs>
          <w:tab w:val="left" w:pos="540"/>
          <w:tab w:val="left" w:pos="8100"/>
        </w:tabs>
        <w:kinsoku/>
        <w:wordWrap/>
        <w:overflowPunct/>
        <w:topLinePunct w:val="0"/>
        <w:autoSpaceDE/>
        <w:autoSpaceDN/>
        <w:bidi w:val="0"/>
        <w:adjustRightInd/>
        <w:snapToGrid/>
        <w:spacing w:line="600" w:lineRule="exact"/>
        <w:ind w:firstLine="636" w:firstLineChars="199"/>
        <w:textAlignment w:val="auto"/>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做好收费管理系统的数据维护与核对以及新生收费信息的初始化工作。加强学生退费、欠费管理。完善学生学费收缴管理制度，确保学校收入按时、准确到位。今年以来高职学费、住宿费共收取</w:t>
      </w:r>
      <w:r>
        <w:rPr>
          <w:rFonts w:hint="eastAsia" w:ascii="仿宋_GB2312" w:eastAsia="仿宋_GB2312"/>
          <w:sz w:val="32"/>
          <w:szCs w:val="32"/>
          <w:lang w:val="en-US" w:eastAsia="zh-CN"/>
        </w:rPr>
        <w:t>4507.74</w:t>
      </w:r>
      <w:r>
        <w:rPr>
          <w:rFonts w:hint="eastAsia" w:ascii="仿宋_GB2312" w:eastAsia="仿宋_GB2312"/>
          <w:sz w:val="32"/>
          <w:szCs w:val="32"/>
        </w:rPr>
        <w:t>万元，五年制学费、住宿费收取</w:t>
      </w:r>
      <w:r>
        <w:rPr>
          <w:rFonts w:hint="eastAsia" w:ascii="仿宋_GB2312" w:eastAsia="仿宋_GB2312"/>
          <w:sz w:val="32"/>
          <w:szCs w:val="32"/>
          <w:lang w:val="en-US" w:eastAsia="zh-CN"/>
        </w:rPr>
        <w:t>529.6</w:t>
      </w:r>
      <w:r>
        <w:rPr>
          <w:rFonts w:hint="eastAsia" w:ascii="仿宋_GB2312" w:eastAsia="仿宋_GB2312"/>
          <w:sz w:val="32"/>
          <w:szCs w:val="32"/>
        </w:rPr>
        <w:t>万元，高职扩招收取学费</w:t>
      </w:r>
      <w:r>
        <w:rPr>
          <w:rFonts w:hint="eastAsia" w:ascii="仿宋_GB2312" w:eastAsia="仿宋_GB2312"/>
          <w:sz w:val="32"/>
          <w:szCs w:val="32"/>
          <w:lang w:val="en-US" w:eastAsia="zh-CN"/>
        </w:rPr>
        <w:t>456.53</w:t>
      </w:r>
      <w:r>
        <w:rPr>
          <w:rFonts w:hint="eastAsia" w:ascii="仿宋_GB2312" w:eastAsia="仿宋_GB2312"/>
          <w:sz w:val="32"/>
          <w:szCs w:val="32"/>
        </w:rPr>
        <w:t>万元，电大及成教收取</w:t>
      </w:r>
      <w:r>
        <w:rPr>
          <w:rFonts w:hint="eastAsia" w:ascii="仿宋_GB2312" w:eastAsia="仿宋_GB2312"/>
          <w:sz w:val="32"/>
          <w:szCs w:val="32"/>
          <w:lang w:val="en-US" w:eastAsia="zh-CN"/>
        </w:rPr>
        <w:t>620.26</w:t>
      </w:r>
      <w:r>
        <w:rPr>
          <w:rFonts w:hint="eastAsia" w:ascii="仿宋_GB2312" w:eastAsia="仿宋_GB2312"/>
          <w:sz w:val="32"/>
          <w:szCs w:val="32"/>
        </w:rPr>
        <w:t>万元，自考收费</w:t>
      </w:r>
      <w:r>
        <w:rPr>
          <w:rFonts w:hint="eastAsia" w:ascii="仿宋_GB2312" w:eastAsia="仿宋_GB2312"/>
          <w:sz w:val="32"/>
          <w:szCs w:val="32"/>
          <w:lang w:val="en-US" w:eastAsia="zh-CN"/>
        </w:rPr>
        <w:t>20.08</w:t>
      </w:r>
      <w:r>
        <w:rPr>
          <w:rFonts w:hint="eastAsia" w:ascii="仿宋_GB2312" w:eastAsia="仿宋_GB2312"/>
          <w:sz w:val="32"/>
          <w:szCs w:val="32"/>
        </w:rPr>
        <w:t>万元。</w:t>
      </w:r>
    </w:p>
    <w:p>
      <w:pPr>
        <w:keepNext w:val="0"/>
        <w:keepLines w:val="0"/>
        <w:pageBreakBefore w:val="0"/>
        <w:tabs>
          <w:tab w:val="left" w:pos="540"/>
          <w:tab w:val="left" w:pos="8100"/>
        </w:tabs>
        <w:kinsoku/>
        <w:wordWrap/>
        <w:overflowPunct/>
        <w:topLinePunct w:val="0"/>
        <w:autoSpaceDE/>
        <w:autoSpaceDN/>
        <w:bidi w:val="0"/>
        <w:adjustRightInd/>
        <w:snapToGrid/>
        <w:spacing w:line="600" w:lineRule="exact"/>
        <w:ind w:firstLine="636" w:firstLineChars="199"/>
        <w:textAlignment w:val="auto"/>
        <w:rPr>
          <w:rFonts w:hint="eastAsia" w:ascii="仿宋_GB2312" w:eastAsia="仿宋_GB2312"/>
          <w:sz w:val="32"/>
          <w:szCs w:val="32"/>
        </w:rPr>
      </w:pPr>
      <w:r>
        <w:rPr>
          <w:rFonts w:hint="eastAsia" w:ascii="仿宋_GB2312" w:eastAsia="仿宋_GB2312"/>
          <w:sz w:val="32"/>
          <w:szCs w:val="32"/>
        </w:rPr>
        <w:t>3.近年来，由于开通了微信自助缴费和网上在线缴费，方便了学生缴费，提高了工作效率。新的收费系统采用目前先进的信息化技术，实现了学校和银行、财政票据系统的互联互通、信息共享和收费票据电子化，缩短了学生排队等候缴费的时间，简单方便快捷，推进了学校收费工作管理水平的提升。202</w:t>
      </w:r>
      <w:r>
        <w:rPr>
          <w:rFonts w:hint="eastAsia" w:ascii="仿宋_GB2312" w:eastAsia="仿宋_GB2312"/>
          <w:sz w:val="32"/>
          <w:szCs w:val="32"/>
          <w:lang w:val="en-US" w:eastAsia="zh-CN"/>
        </w:rPr>
        <w:t>2</w:t>
      </w:r>
      <w:r>
        <w:rPr>
          <w:rFonts w:hint="eastAsia" w:ascii="仿宋_GB2312" w:eastAsia="仿宋_GB2312"/>
          <w:sz w:val="32"/>
          <w:szCs w:val="32"/>
        </w:rPr>
        <w:t>年新生入学缴费在各院系班级都</w:t>
      </w:r>
      <w:r>
        <w:rPr>
          <w:rFonts w:hint="eastAsia" w:ascii="仿宋_GB2312" w:eastAsia="仿宋_GB2312"/>
          <w:sz w:val="32"/>
          <w:szCs w:val="32"/>
          <w:lang w:val="en-US" w:eastAsia="zh-CN"/>
        </w:rPr>
        <w:t>设置</w:t>
      </w:r>
      <w:r>
        <w:rPr>
          <w:rFonts w:hint="eastAsia" w:ascii="仿宋_GB2312" w:eastAsia="仿宋_GB2312"/>
          <w:sz w:val="32"/>
          <w:szCs w:val="32"/>
        </w:rPr>
        <w:t>了收费</w:t>
      </w:r>
      <w:r>
        <w:rPr>
          <w:rFonts w:hint="eastAsia" w:ascii="仿宋_GB2312" w:eastAsia="仿宋_GB2312"/>
          <w:sz w:val="32"/>
          <w:szCs w:val="32"/>
          <w:lang w:val="en-US" w:eastAsia="zh-CN"/>
        </w:rPr>
        <w:t>点</w:t>
      </w:r>
      <w:r>
        <w:rPr>
          <w:rFonts w:hint="eastAsia" w:ascii="仿宋_GB2312" w:eastAsia="仿宋_GB2312"/>
          <w:sz w:val="32"/>
          <w:szCs w:val="32"/>
        </w:rPr>
        <w:t>，极大方便了学生缴费。</w:t>
      </w:r>
    </w:p>
    <w:p>
      <w:pPr>
        <w:keepNext w:val="0"/>
        <w:keepLines w:val="0"/>
        <w:pageBreakBefore w:val="0"/>
        <w:widowControl/>
        <w:tabs>
          <w:tab w:val="left" w:pos="8100"/>
        </w:tabs>
        <w:kinsoku/>
        <w:wordWrap/>
        <w:overflowPunct/>
        <w:topLinePunct w:val="0"/>
        <w:autoSpaceDE/>
        <w:autoSpaceDN/>
        <w:bidi w:val="0"/>
        <w:adjustRightInd/>
        <w:snapToGrid/>
        <w:spacing w:line="600" w:lineRule="exact"/>
        <w:ind w:firstLine="640" w:firstLineChars="200"/>
        <w:jc w:val="left"/>
        <w:textAlignment w:val="auto"/>
        <w:rPr>
          <w:rFonts w:hint="eastAsia" w:ascii="楷体_GB2312" w:eastAsia="楷体_GB2312"/>
          <w:sz w:val="32"/>
          <w:szCs w:val="32"/>
        </w:rPr>
      </w:pPr>
      <w:r>
        <w:rPr>
          <w:rFonts w:hint="eastAsia" w:ascii="楷体_GB2312" w:eastAsia="楷体_GB2312"/>
          <w:sz w:val="32"/>
          <w:szCs w:val="32"/>
        </w:rPr>
        <w:t>（四）加强政府采购管理,规范采购行为</w:t>
      </w:r>
    </w:p>
    <w:p>
      <w:pPr>
        <w:keepNext w:val="0"/>
        <w:keepLines w:val="0"/>
        <w:pageBreakBefore w:val="0"/>
        <w:widowControl/>
        <w:tabs>
          <w:tab w:val="left" w:pos="8100"/>
        </w:tabs>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sz w:val="32"/>
          <w:szCs w:val="32"/>
          <w:lang w:val="en-US" w:eastAsia="zh-CN"/>
        </w:rPr>
      </w:pPr>
      <w:r>
        <w:rPr>
          <w:rFonts w:hint="eastAsia" w:ascii="仿宋_GB2312" w:eastAsia="仿宋_GB2312"/>
          <w:sz w:val="32"/>
          <w:szCs w:val="32"/>
        </w:rPr>
        <w:t>202</w:t>
      </w:r>
      <w:r>
        <w:rPr>
          <w:rFonts w:hint="eastAsia" w:ascii="仿宋_GB2312" w:eastAsia="仿宋_GB2312"/>
          <w:sz w:val="32"/>
          <w:szCs w:val="32"/>
          <w:lang w:val="en-US" w:eastAsia="zh-CN"/>
        </w:rPr>
        <w:t>2</w:t>
      </w:r>
      <w:r>
        <w:rPr>
          <w:rFonts w:hint="eastAsia" w:ascii="仿宋_GB2312" w:eastAsia="仿宋_GB2312"/>
          <w:sz w:val="32"/>
          <w:szCs w:val="32"/>
        </w:rPr>
        <w:t>年共执行采购项目</w:t>
      </w:r>
      <w:r>
        <w:rPr>
          <w:rFonts w:hint="eastAsia" w:ascii="仿宋_GB2312" w:eastAsia="仿宋_GB2312"/>
          <w:sz w:val="32"/>
          <w:szCs w:val="32"/>
          <w:lang w:val="en-US" w:eastAsia="zh-CN"/>
        </w:rPr>
        <w:t>147</w:t>
      </w:r>
      <w:r>
        <w:rPr>
          <w:rFonts w:hint="eastAsia" w:ascii="仿宋_GB2312" w:eastAsia="仿宋_GB2312"/>
          <w:sz w:val="32"/>
          <w:szCs w:val="32"/>
        </w:rPr>
        <w:t>项，</w:t>
      </w:r>
      <w:r>
        <w:rPr>
          <w:rFonts w:hint="eastAsia" w:ascii="仿宋_GB2312" w:eastAsia="仿宋_GB2312"/>
          <w:sz w:val="32"/>
          <w:szCs w:val="32"/>
          <w:lang w:val="en-US" w:eastAsia="zh-CN"/>
        </w:rPr>
        <w:t>预算金额7174万元，实际采购金额5970万元，</w:t>
      </w:r>
      <w:r>
        <w:rPr>
          <w:rFonts w:hint="eastAsia" w:ascii="仿宋_GB2312" w:eastAsia="仿宋_GB2312"/>
          <w:sz w:val="32"/>
          <w:szCs w:val="32"/>
        </w:rPr>
        <w:t>其中通过政府集中采购</w:t>
      </w:r>
      <w:r>
        <w:rPr>
          <w:rFonts w:hint="eastAsia" w:ascii="仿宋_GB2312" w:eastAsia="仿宋_GB2312"/>
          <w:sz w:val="32"/>
          <w:szCs w:val="32"/>
          <w:lang w:val="en-US" w:eastAsia="zh-CN"/>
        </w:rPr>
        <w:t>54</w:t>
      </w:r>
      <w:r>
        <w:rPr>
          <w:rFonts w:hint="eastAsia" w:ascii="仿宋_GB2312" w:eastAsia="仿宋_GB2312"/>
          <w:sz w:val="32"/>
          <w:szCs w:val="32"/>
        </w:rPr>
        <w:t>项，校内电子竞价项目</w:t>
      </w:r>
      <w:r>
        <w:rPr>
          <w:rFonts w:hint="eastAsia" w:ascii="仿宋_GB2312" w:eastAsia="仿宋_GB2312"/>
          <w:sz w:val="32"/>
          <w:szCs w:val="32"/>
          <w:lang w:val="en-US" w:eastAsia="zh-CN"/>
        </w:rPr>
        <w:t>33</w:t>
      </w:r>
      <w:r>
        <w:rPr>
          <w:rFonts w:hint="eastAsia" w:ascii="仿宋_GB2312" w:eastAsia="仿宋_GB2312"/>
          <w:sz w:val="32"/>
          <w:szCs w:val="32"/>
        </w:rPr>
        <w:t>项</w:t>
      </w:r>
      <w:r>
        <w:rPr>
          <w:rFonts w:hint="eastAsia" w:ascii="仿宋_GB2312" w:eastAsia="仿宋_GB2312"/>
          <w:sz w:val="32"/>
          <w:szCs w:val="32"/>
          <w:lang w:eastAsia="zh-CN"/>
        </w:rPr>
        <w:t>、</w:t>
      </w:r>
      <w:r>
        <w:rPr>
          <w:rFonts w:hint="eastAsia" w:ascii="仿宋_GB2312" w:eastAsia="仿宋_GB2312"/>
          <w:sz w:val="32"/>
          <w:szCs w:val="32"/>
          <w:lang w:val="en-US" w:eastAsia="zh-CN"/>
        </w:rPr>
        <w:t>询价14项</w:t>
      </w:r>
      <w:r>
        <w:rPr>
          <w:rFonts w:hint="eastAsia" w:ascii="仿宋_GB2312" w:eastAsia="仿宋_GB2312"/>
          <w:sz w:val="32"/>
          <w:szCs w:val="32"/>
        </w:rPr>
        <w:t>，商城采购</w:t>
      </w:r>
      <w:r>
        <w:rPr>
          <w:rFonts w:hint="eastAsia" w:ascii="仿宋_GB2312" w:eastAsia="仿宋_GB2312"/>
          <w:sz w:val="32"/>
          <w:szCs w:val="32"/>
          <w:lang w:val="en-US" w:eastAsia="zh-CN"/>
        </w:rPr>
        <w:t>46</w:t>
      </w:r>
      <w:r>
        <w:rPr>
          <w:rFonts w:hint="eastAsia" w:ascii="仿宋_GB2312" w:eastAsia="仿宋_GB2312"/>
          <w:sz w:val="32"/>
          <w:szCs w:val="32"/>
        </w:rPr>
        <w:t>项</w:t>
      </w:r>
      <w:r>
        <w:rPr>
          <w:rFonts w:hint="eastAsia" w:ascii="仿宋_GB2312" w:eastAsia="仿宋_GB2312"/>
          <w:sz w:val="32"/>
          <w:szCs w:val="32"/>
          <w:lang w:val="en-US" w:eastAsia="zh-CN"/>
        </w:rPr>
        <w:t>。</w:t>
      </w:r>
      <w:r>
        <w:rPr>
          <w:rFonts w:hint="eastAsia" w:ascii="仿宋_GB2312" w:eastAsia="仿宋_GB2312"/>
          <w:sz w:val="32"/>
          <w:szCs w:val="32"/>
        </w:rPr>
        <w:t>所有采购项目均按照政府采购的相关法律法规，公开、公平、公正的执行。所有执行结果均可在省、市、校等相关网站查询采购流程与结果公示，接收全社会、全校教职工的监督检查。</w:t>
      </w:r>
      <w:r>
        <w:rPr>
          <w:rFonts w:hint="eastAsia" w:ascii="仿宋_GB2312" w:eastAsia="仿宋_GB2312"/>
          <w:sz w:val="32"/>
          <w:szCs w:val="32"/>
          <w:lang w:val="en-US" w:eastAsia="zh-CN"/>
        </w:rPr>
        <w:t>加强采购业务培训和廉政教育，规范档案管理，并适时更新采购代理机构库。</w:t>
      </w:r>
    </w:p>
    <w:p>
      <w:pPr>
        <w:keepNext w:val="0"/>
        <w:keepLines w:val="0"/>
        <w:pageBreakBefore w:val="0"/>
        <w:widowControl/>
        <w:tabs>
          <w:tab w:val="left" w:pos="8100"/>
        </w:tabs>
        <w:kinsoku/>
        <w:wordWrap/>
        <w:overflowPunct/>
        <w:topLinePunct w:val="0"/>
        <w:autoSpaceDE/>
        <w:autoSpaceDN/>
        <w:bidi w:val="0"/>
        <w:adjustRightInd/>
        <w:snapToGrid/>
        <w:spacing w:line="600" w:lineRule="exact"/>
        <w:ind w:firstLine="640" w:firstLineChars="200"/>
        <w:jc w:val="left"/>
        <w:textAlignment w:val="auto"/>
        <w:rPr>
          <w:rFonts w:hint="eastAsia" w:ascii="楷体_GB2312" w:eastAsia="楷体_GB2312"/>
          <w:sz w:val="32"/>
          <w:szCs w:val="32"/>
        </w:rPr>
      </w:pPr>
      <w:r>
        <w:rPr>
          <w:rFonts w:hint="eastAsia" w:ascii="楷体_GB2312" w:eastAsia="楷体_GB2312"/>
          <w:sz w:val="32"/>
          <w:szCs w:val="32"/>
        </w:rPr>
        <w:t>（五）加强资产管理工作</w:t>
      </w:r>
    </w:p>
    <w:p>
      <w:pPr>
        <w:keepNext w:val="0"/>
        <w:keepLines w:val="0"/>
        <w:pageBreakBefore w:val="0"/>
        <w:widowControl/>
        <w:tabs>
          <w:tab w:val="left" w:pos="8100"/>
        </w:tabs>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lang w:val="en-US" w:eastAsia="zh-CN"/>
        </w:rPr>
        <w:t>按照统一领导、归口管理、分级负责的原则，建立健全资产管理制度，加强资产在购置、验收、处置等环节管理，今年以来</w:t>
      </w:r>
      <w:r>
        <w:rPr>
          <w:rFonts w:hint="eastAsia" w:ascii="仿宋_GB2312" w:eastAsia="仿宋_GB2312"/>
          <w:sz w:val="32"/>
          <w:szCs w:val="32"/>
        </w:rPr>
        <w:t>验收新</w:t>
      </w:r>
      <w:r>
        <w:rPr>
          <w:rFonts w:hint="eastAsia" w:ascii="仿宋_GB2312" w:eastAsia="仿宋_GB2312"/>
          <w:sz w:val="32"/>
          <w:szCs w:val="32"/>
          <w:lang w:val="en-US" w:eastAsia="zh-CN"/>
        </w:rPr>
        <w:t>增</w:t>
      </w:r>
      <w:r>
        <w:rPr>
          <w:rFonts w:hint="eastAsia" w:ascii="仿宋_GB2312" w:eastAsia="仿宋_GB2312"/>
          <w:sz w:val="32"/>
          <w:szCs w:val="32"/>
        </w:rPr>
        <w:t>资产、设备</w:t>
      </w:r>
      <w:r>
        <w:rPr>
          <w:rFonts w:hint="eastAsia" w:ascii="仿宋_GB2312" w:eastAsia="仿宋_GB2312"/>
          <w:sz w:val="32"/>
          <w:szCs w:val="32"/>
          <w:lang w:val="en-US" w:eastAsia="zh-CN"/>
        </w:rPr>
        <w:t>等6180件</w:t>
      </w:r>
      <w:r>
        <w:rPr>
          <w:rFonts w:hint="eastAsia" w:ascii="仿宋_GB2312" w:eastAsia="仿宋_GB2312"/>
          <w:sz w:val="32"/>
          <w:szCs w:val="32"/>
        </w:rPr>
        <w:t>，</w:t>
      </w:r>
      <w:r>
        <w:rPr>
          <w:rFonts w:hint="eastAsia" w:ascii="仿宋_GB2312" w:eastAsia="仿宋_GB2312"/>
          <w:sz w:val="32"/>
          <w:szCs w:val="32"/>
          <w:lang w:val="en-US" w:eastAsia="zh-CN"/>
        </w:rPr>
        <w:t>新增资产1309.25万元，</w:t>
      </w:r>
      <w:r>
        <w:rPr>
          <w:rFonts w:hint="eastAsia" w:ascii="仿宋_GB2312" w:eastAsia="仿宋_GB2312"/>
          <w:sz w:val="32"/>
          <w:szCs w:val="32"/>
        </w:rPr>
        <w:t>并通过事业单位资产管理系统严格进行相应的登记工作，开具资产领用单</w:t>
      </w:r>
      <w:r>
        <w:rPr>
          <w:rFonts w:hint="eastAsia" w:ascii="仿宋_GB2312" w:eastAsia="仿宋_GB2312"/>
          <w:sz w:val="32"/>
          <w:szCs w:val="32"/>
          <w:lang w:val="en-US" w:eastAsia="zh-CN"/>
        </w:rPr>
        <w:t>和</w:t>
      </w:r>
      <w:r>
        <w:rPr>
          <w:rFonts w:hint="eastAsia" w:ascii="仿宋_GB2312" w:eastAsia="仿宋_GB2312"/>
          <w:sz w:val="32"/>
          <w:szCs w:val="32"/>
        </w:rPr>
        <w:t>张贴资产标签。</w:t>
      </w:r>
      <w:r>
        <w:rPr>
          <w:rFonts w:hint="eastAsia" w:ascii="仿宋_GB2312" w:eastAsia="仿宋_GB2312"/>
          <w:sz w:val="32"/>
          <w:szCs w:val="32"/>
          <w:lang w:val="en-US" w:eastAsia="zh-CN"/>
        </w:rPr>
        <w:t>及时开展报废资产处置工作，经过市财政部门批准，今年通过校内竞价，顺利完成原值98.11万元的资产处置。</w:t>
      </w:r>
    </w:p>
    <w:p>
      <w:pPr>
        <w:keepNext w:val="0"/>
        <w:keepLines w:val="0"/>
        <w:pageBreakBefore w:val="0"/>
        <w:widowControl/>
        <w:tabs>
          <w:tab w:val="left" w:pos="8100"/>
        </w:tabs>
        <w:kinsoku/>
        <w:wordWrap/>
        <w:overflowPunct/>
        <w:topLinePunct w:val="0"/>
        <w:autoSpaceDE/>
        <w:autoSpaceDN/>
        <w:bidi w:val="0"/>
        <w:adjustRightInd/>
        <w:snapToGrid/>
        <w:spacing w:line="600" w:lineRule="exact"/>
        <w:ind w:firstLine="640" w:firstLineChars="200"/>
        <w:jc w:val="left"/>
        <w:textAlignment w:val="auto"/>
        <w:rPr>
          <w:rFonts w:hint="default" w:ascii="楷体_GB2312" w:eastAsia="楷体_GB2312"/>
          <w:sz w:val="32"/>
          <w:szCs w:val="32"/>
          <w:lang w:val="en-US" w:eastAsia="zh-CN"/>
        </w:rPr>
      </w:pPr>
      <w:r>
        <w:rPr>
          <w:rFonts w:hint="eastAsia" w:ascii="楷体_GB2312" w:eastAsia="楷体_GB2312"/>
          <w:sz w:val="32"/>
          <w:szCs w:val="32"/>
        </w:rPr>
        <w:t>（</w:t>
      </w:r>
      <w:r>
        <w:rPr>
          <w:rFonts w:hint="eastAsia" w:ascii="楷体_GB2312" w:eastAsia="楷体_GB2312"/>
          <w:sz w:val="32"/>
          <w:szCs w:val="32"/>
          <w:lang w:val="en-US" w:eastAsia="zh-CN"/>
        </w:rPr>
        <w:t>六</w:t>
      </w:r>
      <w:r>
        <w:rPr>
          <w:rFonts w:hint="eastAsia" w:ascii="楷体_GB2312" w:eastAsia="楷体_GB2312"/>
          <w:sz w:val="32"/>
          <w:szCs w:val="32"/>
        </w:rPr>
        <w:t>）</w:t>
      </w:r>
      <w:r>
        <w:rPr>
          <w:rFonts w:hint="eastAsia" w:ascii="楷体_GB2312" w:eastAsia="楷体_GB2312"/>
          <w:sz w:val="32"/>
          <w:szCs w:val="32"/>
          <w:lang w:val="en-US" w:eastAsia="zh-CN"/>
        </w:rPr>
        <w:t>加强日常财务管理工作</w:t>
      </w:r>
    </w:p>
    <w:p>
      <w:pPr>
        <w:keepNext w:val="0"/>
        <w:keepLines w:val="0"/>
        <w:pageBreakBefore w:val="0"/>
        <w:widowControl/>
        <w:tabs>
          <w:tab w:val="left" w:pos="8100"/>
        </w:tabs>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及时发放工资、岗贴、教酬、交通费、通讯费，并认真做好公积金、医疗保险、养老金的核算和代扣代缴工作。开通工资查询系统，目前教职工可通过财资网站以及手机微信查询每月工资明细。</w:t>
      </w:r>
    </w:p>
    <w:p>
      <w:pPr>
        <w:keepNext w:val="0"/>
        <w:keepLines w:val="0"/>
        <w:pageBreakBefore w:val="0"/>
        <w:widowControl/>
        <w:tabs>
          <w:tab w:val="left" w:pos="8100"/>
        </w:tabs>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sz w:val="32"/>
          <w:szCs w:val="32"/>
          <w:lang w:val="en-US" w:eastAsia="zh-CN"/>
        </w:rPr>
      </w:pPr>
    </w:p>
    <w:p>
      <w:pPr>
        <w:keepNext w:val="0"/>
        <w:keepLines w:val="0"/>
        <w:pageBreakBefore w:val="0"/>
        <w:widowControl/>
        <w:tabs>
          <w:tab w:val="left" w:pos="8100"/>
        </w:tabs>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sz w:val="32"/>
          <w:szCs w:val="32"/>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600" w:lineRule="exact"/>
        <w:jc w:val="center"/>
        <w:textAlignment w:val="auto"/>
        <w:rPr>
          <w:rFonts w:hint="eastAsia" w:ascii="黑体" w:hAnsi="黑体" w:eastAsia="黑体" w:cs="宋体"/>
          <w:kern w:val="0"/>
          <w:sz w:val="36"/>
          <w:szCs w:val="36"/>
          <w:lang w:val="en-US" w:eastAsia="zh-CN" w:bidi="ar-SA"/>
        </w:rPr>
      </w:pPr>
    </w:p>
    <w:p>
      <w:pPr>
        <w:keepNext w:val="0"/>
        <w:keepLines w:val="0"/>
        <w:pageBreakBefore w:val="0"/>
        <w:numPr>
          <w:ilvl w:val="0"/>
          <w:numId w:val="0"/>
        </w:numPr>
        <w:kinsoku/>
        <w:wordWrap/>
        <w:overflowPunct/>
        <w:topLinePunct w:val="0"/>
        <w:autoSpaceDE/>
        <w:autoSpaceDN/>
        <w:bidi w:val="0"/>
        <w:adjustRightInd/>
        <w:snapToGrid/>
        <w:spacing w:line="600" w:lineRule="exact"/>
        <w:jc w:val="center"/>
        <w:textAlignment w:val="auto"/>
        <w:rPr>
          <w:rFonts w:hint="eastAsia" w:ascii="黑体" w:hAnsi="黑体" w:eastAsia="黑体" w:cs="宋体"/>
          <w:kern w:val="0"/>
          <w:sz w:val="36"/>
          <w:szCs w:val="36"/>
          <w:lang w:val="en-US" w:eastAsia="zh-CN" w:bidi="ar-SA"/>
        </w:rPr>
      </w:pPr>
    </w:p>
    <w:p>
      <w:pPr>
        <w:keepNext w:val="0"/>
        <w:keepLines w:val="0"/>
        <w:pageBreakBefore w:val="0"/>
        <w:numPr>
          <w:ilvl w:val="0"/>
          <w:numId w:val="0"/>
        </w:numPr>
        <w:kinsoku/>
        <w:wordWrap/>
        <w:overflowPunct/>
        <w:topLinePunct w:val="0"/>
        <w:autoSpaceDE/>
        <w:autoSpaceDN/>
        <w:bidi w:val="0"/>
        <w:adjustRightInd/>
        <w:snapToGrid/>
        <w:spacing w:line="600" w:lineRule="exact"/>
        <w:jc w:val="center"/>
        <w:textAlignment w:val="auto"/>
        <w:rPr>
          <w:rFonts w:hint="eastAsia" w:ascii="黑体" w:hAnsi="黑体" w:eastAsia="黑体" w:cs="宋体"/>
          <w:kern w:val="0"/>
          <w:sz w:val="36"/>
          <w:szCs w:val="36"/>
          <w:lang w:val="en-US" w:eastAsia="zh-CN" w:bidi="ar-SA"/>
        </w:rPr>
      </w:pPr>
      <w:r>
        <w:rPr>
          <w:rFonts w:hint="eastAsia" w:ascii="黑体" w:hAnsi="黑体" w:eastAsia="黑体" w:cs="宋体"/>
          <w:kern w:val="0"/>
          <w:sz w:val="36"/>
          <w:szCs w:val="36"/>
          <w:lang w:val="en-US" w:eastAsia="zh-CN" w:bidi="ar-SA"/>
        </w:rPr>
        <w:t>第三部分  加强自身修养，廉洁自律，踏实做人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both"/>
        <w:textAlignment w:val="auto"/>
        <w:rPr>
          <w:rFonts w:hint="eastAsia" w:ascii="仿宋_GB2312" w:hAnsi="仿宋_GB2312" w:eastAsia="仿宋_GB2312" w:cs="仿宋_GB2312"/>
          <w:color w:val="00000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一）始终坚持清醒坚定的政治立场，模范遵守党章，自觉做到“两个维护”，在政治上讲忠诚、在组织上讲纪律、在行动上讲原则，始终站在党的立场上想问题、办事情、对党忠诚。在路线原则上立场坚定、旗帜鲜明，在关键时刻和风险挑战中经得起考验。严格执行廉洁自律准则，遵守中央八项规定，自觉抵制“四风”问题，牢固树立“四个意识”，坚定“四个自信”、做到“四个服从”，始终树立规矩意识，严格按党性原则办事，按政策法规办事，按制度程序办事，真正把守规矩当作一种责任。</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二）牢固树立全心全意为人民服务的思想，树立为党为人民无私奉献的精神，把个人的追求融入党的事业之中，坚持党的事业第一、坚持为全校教职工和学生做好服务工作。一是想问题、办事情、做决策都能坚持从实际出发，遵守客观规律，迎难而上，增强工作的时效性。二是敢于讲实话、真话，敢于听实话、真话，重实际、办实事、求实效。三是能创造性地开展工作，在工作中勇于开拓创新、担当负责、攻坚克难、身体力行，每周一召开处室工作例会，总结上周工作，安排本周工作重点，取得良好成效。对内对外加强沟通协调，不断总结和完善自己的经验，努力开创工作新局面。</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2022年我和处室同志一道，兢兢业业，努力工作，取得了一些成绩，预算报告和决算报告均获得市财政局先进单位荣誉称号。但也存在一些问题，</w:t>
      </w:r>
      <w:r>
        <w:rPr>
          <w:rFonts w:hint="eastAsia" w:ascii="仿宋" w:hAnsi="仿宋" w:eastAsia="仿宋" w:cs="仿宋"/>
          <w:bCs/>
          <w:color w:val="0D0D0D"/>
          <w:kern w:val="0"/>
          <w:sz w:val="32"/>
          <w:szCs w:val="32"/>
          <w:shd w:val="clear" w:color="auto" w:fill="FFFFFF"/>
        </w:rPr>
        <w:t>理论学习不够深入不够系统,学习整体意识不强，深入调研不够，服务全校教职工以及学生意识有待进一步提高。</w:t>
      </w:r>
      <w:r>
        <w:rPr>
          <w:rFonts w:hint="eastAsia" w:ascii="仿宋_GB2312" w:hAnsi="仿宋_GB2312" w:eastAsia="仿宋_GB2312" w:cs="仿宋_GB2312"/>
          <w:color w:val="000000"/>
          <w:sz w:val="32"/>
          <w:szCs w:val="32"/>
          <w:lang w:val="en-US" w:eastAsia="zh-CN"/>
        </w:rPr>
        <w:t>下一步我将更加努力，以良好的精神状态、过硬的业务水平、扎实的工作作风，做好学校财务和资产工作。</w:t>
      </w:r>
    </w:p>
    <w:p>
      <w:pPr>
        <w:widowControl/>
        <w:tabs>
          <w:tab w:val="left" w:pos="8100"/>
        </w:tabs>
        <w:spacing w:line="600" w:lineRule="exact"/>
        <w:ind w:firstLine="640" w:firstLineChars="200"/>
        <w:jc w:val="left"/>
        <w:rPr>
          <w:rFonts w:hint="eastAsia" w:ascii="楷体_GB2312" w:eastAsia="楷体_GB2312"/>
          <w:sz w:val="32"/>
          <w:szCs w:val="32"/>
          <w:lang w:val="en-US" w:eastAsia="zh-CN"/>
        </w:rPr>
      </w:pPr>
    </w:p>
    <w:p>
      <w:pPr>
        <w:widowControl/>
        <w:tabs>
          <w:tab w:val="left" w:pos="8100"/>
        </w:tabs>
        <w:spacing w:line="600" w:lineRule="exact"/>
        <w:ind w:firstLine="640" w:firstLineChars="200"/>
        <w:jc w:val="left"/>
        <w:rPr>
          <w:rFonts w:hint="eastAsia" w:ascii="仿宋_GB2312" w:eastAsia="仿宋_GB2312"/>
          <w:sz w:val="32"/>
          <w:szCs w:val="32"/>
          <w:lang w:val="en-US" w:eastAsia="zh-CN"/>
        </w:rPr>
      </w:pPr>
    </w:p>
    <w:p>
      <w:pPr>
        <w:tabs>
          <w:tab w:val="left" w:pos="6645"/>
          <w:tab w:val="left" w:pos="8100"/>
        </w:tabs>
        <w:spacing w:line="600" w:lineRule="exact"/>
        <w:rPr>
          <w:rFonts w:hint="eastAsia" w:ascii="宋体" w:hAnsi="宋体"/>
          <w:b/>
          <w:color w:val="000000"/>
          <w:sz w:val="30"/>
          <w:szCs w:val="30"/>
        </w:rPr>
      </w:pPr>
      <w:r>
        <w:rPr>
          <w:rFonts w:hint="eastAsia" w:ascii="宋体" w:hAnsi="宋体"/>
          <w:b/>
          <w:color w:val="000000"/>
          <w:sz w:val="30"/>
          <w:szCs w:val="30"/>
        </w:rPr>
        <w:t xml:space="preserve">                                     </w:t>
      </w:r>
    </w:p>
    <w:sectPr>
      <w:footerReference r:id="rId3" w:type="default"/>
      <w:footerReference r:id="rId4" w:type="even"/>
      <w:pgSz w:w="11906" w:h="16838"/>
      <w:pgMar w:top="1985" w:right="1418" w:bottom="1644"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altName w:val="宋体"/>
    <w:panose1 w:val="00000000000000000000"/>
    <w:charset w:val="86"/>
    <w:family w:val="roman"/>
    <w:pitch w:val="default"/>
    <w:sig w:usb0="00000000" w:usb1="00000000" w:usb2="00000010" w:usb3="00000000" w:csb0="00040000" w:csb1="00000000"/>
  </w:font>
  <w:font w:name="楷体_GB2312">
    <w:altName w:val="楷体"/>
    <w:panose1 w:val="00000000000000000000"/>
    <w:charset w:val="86"/>
    <w:family w:val="roman"/>
    <w:pitch w:val="default"/>
    <w:sig w:usb0="00000000" w:usb1="00000000" w:usb2="00000010" w:usb3="00000000" w:csb0="00040000" w:csb1="00000000"/>
  </w:font>
  <w:font w:name="仿宋_GB2312">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altName w:val="宋体"/>
    <w:panose1 w:val="00000000000000000000"/>
    <w:charset w:val="86"/>
    <w:family w:val="roman"/>
    <w:pitch w:val="default"/>
    <w:sig w:usb0="00000000" w:usb1="00000000" w:usb2="00000010" w:usb3="00000000" w:csb0="00040000" w:csb1="00000000"/>
  </w:font>
  <w:font w:name="微软雅黑 Light">
    <w:panose1 w:val="020B0502040204020203"/>
    <w:charset w:val="86"/>
    <w:family w:val="auto"/>
    <w:pitch w:val="default"/>
    <w:sig w:usb0="80000287" w:usb1="2ACF0010" w:usb2="00000016" w:usb3="00000000" w:csb0="0004001F"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幼圆">
    <w:panose1 w:val="02010509060101010101"/>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7</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JmYzYyMTYxYjkzMjIxMGIxZjY4MjRiZDAxYTRmYjYifQ=="/>
  </w:docVars>
  <w:rsids>
    <w:rsidRoot w:val="00CE1C4A"/>
    <w:rsid w:val="000067CD"/>
    <w:rsid w:val="0001794C"/>
    <w:rsid w:val="0004309F"/>
    <w:rsid w:val="00054EEF"/>
    <w:rsid w:val="0006360B"/>
    <w:rsid w:val="000700AB"/>
    <w:rsid w:val="00073FEA"/>
    <w:rsid w:val="00096C9F"/>
    <w:rsid w:val="000A072A"/>
    <w:rsid w:val="000C5A09"/>
    <w:rsid w:val="000C66B5"/>
    <w:rsid w:val="000D53DE"/>
    <w:rsid w:val="000E06F7"/>
    <w:rsid w:val="0010436B"/>
    <w:rsid w:val="00105A23"/>
    <w:rsid w:val="0017183E"/>
    <w:rsid w:val="00182D4E"/>
    <w:rsid w:val="001A4D1F"/>
    <w:rsid w:val="001A61A0"/>
    <w:rsid w:val="001A6D1E"/>
    <w:rsid w:val="001B1DC6"/>
    <w:rsid w:val="001C5ED2"/>
    <w:rsid w:val="00221F41"/>
    <w:rsid w:val="00245AF8"/>
    <w:rsid w:val="0026213A"/>
    <w:rsid w:val="00274F34"/>
    <w:rsid w:val="00275B08"/>
    <w:rsid w:val="002A280B"/>
    <w:rsid w:val="002B6BF8"/>
    <w:rsid w:val="002C1F68"/>
    <w:rsid w:val="002C4968"/>
    <w:rsid w:val="002C4D9E"/>
    <w:rsid w:val="002D2F12"/>
    <w:rsid w:val="002F0759"/>
    <w:rsid w:val="002F23F9"/>
    <w:rsid w:val="00301303"/>
    <w:rsid w:val="00324238"/>
    <w:rsid w:val="00344B3C"/>
    <w:rsid w:val="003472E7"/>
    <w:rsid w:val="00372002"/>
    <w:rsid w:val="0037700E"/>
    <w:rsid w:val="00377544"/>
    <w:rsid w:val="00391D7C"/>
    <w:rsid w:val="00400F2B"/>
    <w:rsid w:val="00405483"/>
    <w:rsid w:val="0042366C"/>
    <w:rsid w:val="00425D57"/>
    <w:rsid w:val="004335D9"/>
    <w:rsid w:val="00440CC7"/>
    <w:rsid w:val="0045560A"/>
    <w:rsid w:val="00473BCF"/>
    <w:rsid w:val="004D57BF"/>
    <w:rsid w:val="004F3561"/>
    <w:rsid w:val="004F3D1F"/>
    <w:rsid w:val="00505321"/>
    <w:rsid w:val="005203C4"/>
    <w:rsid w:val="005509B9"/>
    <w:rsid w:val="005546B0"/>
    <w:rsid w:val="0058087E"/>
    <w:rsid w:val="005A699A"/>
    <w:rsid w:val="005B58A1"/>
    <w:rsid w:val="005B5BCA"/>
    <w:rsid w:val="005F528D"/>
    <w:rsid w:val="0060002E"/>
    <w:rsid w:val="00603C2E"/>
    <w:rsid w:val="00605E92"/>
    <w:rsid w:val="006360CC"/>
    <w:rsid w:val="0066023B"/>
    <w:rsid w:val="006C29BA"/>
    <w:rsid w:val="006D08C2"/>
    <w:rsid w:val="00706548"/>
    <w:rsid w:val="007076F7"/>
    <w:rsid w:val="00710B6B"/>
    <w:rsid w:val="00714761"/>
    <w:rsid w:val="00721DEC"/>
    <w:rsid w:val="00734822"/>
    <w:rsid w:val="00745641"/>
    <w:rsid w:val="00746249"/>
    <w:rsid w:val="00750D5A"/>
    <w:rsid w:val="00752416"/>
    <w:rsid w:val="0075572D"/>
    <w:rsid w:val="007B1168"/>
    <w:rsid w:val="007D267E"/>
    <w:rsid w:val="007E0C52"/>
    <w:rsid w:val="007E4713"/>
    <w:rsid w:val="0080395D"/>
    <w:rsid w:val="0081176E"/>
    <w:rsid w:val="00812F2E"/>
    <w:rsid w:val="00822619"/>
    <w:rsid w:val="008230D8"/>
    <w:rsid w:val="008239A4"/>
    <w:rsid w:val="0082792B"/>
    <w:rsid w:val="0084475B"/>
    <w:rsid w:val="0085656E"/>
    <w:rsid w:val="00885E49"/>
    <w:rsid w:val="008932B1"/>
    <w:rsid w:val="008C23A4"/>
    <w:rsid w:val="008C2B74"/>
    <w:rsid w:val="008C5462"/>
    <w:rsid w:val="008D04D3"/>
    <w:rsid w:val="008E0480"/>
    <w:rsid w:val="008F0209"/>
    <w:rsid w:val="008F634E"/>
    <w:rsid w:val="008F712A"/>
    <w:rsid w:val="0092739C"/>
    <w:rsid w:val="00927C2C"/>
    <w:rsid w:val="00937137"/>
    <w:rsid w:val="0096162C"/>
    <w:rsid w:val="0099035B"/>
    <w:rsid w:val="009C4D9C"/>
    <w:rsid w:val="009D1B36"/>
    <w:rsid w:val="009E3D82"/>
    <w:rsid w:val="009E4214"/>
    <w:rsid w:val="009E6D00"/>
    <w:rsid w:val="00A11CDC"/>
    <w:rsid w:val="00A128E5"/>
    <w:rsid w:val="00A34335"/>
    <w:rsid w:val="00A41C8F"/>
    <w:rsid w:val="00A4401B"/>
    <w:rsid w:val="00A45DDE"/>
    <w:rsid w:val="00A55250"/>
    <w:rsid w:val="00A67AE3"/>
    <w:rsid w:val="00AA46B7"/>
    <w:rsid w:val="00AC3684"/>
    <w:rsid w:val="00AD374A"/>
    <w:rsid w:val="00AE55ED"/>
    <w:rsid w:val="00AF1843"/>
    <w:rsid w:val="00B00CAE"/>
    <w:rsid w:val="00B34219"/>
    <w:rsid w:val="00B37C4C"/>
    <w:rsid w:val="00B61E08"/>
    <w:rsid w:val="00B75755"/>
    <w:rsid w:val="00B8530B"/>
    <w:rsid w:val="00BB0BA7"/>
    <w:rsid w:val="00BC631D"/>
    <w:rsid w:val="00BD01EA"/>
    <w:rsid w:val="00BE5F3E"/>
    <w:rsid w:val="00BF7E76"/>
    <w:rsid w:val="00C15EEB"/>
    <w:rsid w:val="00C6062C"/>
    <w:rsid w:val="00C6779C"/>
    <w:rsid w:val="00C8149A"/>
    <w:rsid w:val="00CB5ACC"/>
    <w:rsid w:val="00CE065C"/>
    <w:rsid w:val="00CE0CDC"/>
    <w:rsid w:val="00CE1C4A"/>
    <w:rsid w:val="00CE265E"/>
    <w:rsid w:val="00CF435B"/>
    <w:rsid w:val="00D37697"/>
    <w:rsid w:val="00D54541"/>
    <w:rsid w:val="00D67B9F"/>
    <w:rsid w:val="00D93D40"/>
    <w:rsid w:val="00DC0156"/>
    <w:rsid w:val="00DD23B9"/>
    <w:rsid w:val="00DD4B1F"/>
    <w:rsid w:val="00DD744D"/>
    <w:rsid w:val="00E03D41"/>
    <w:rsid w:val="00E1216B"/>
    <w:rsid w:val="00E24D83"/>
    <w:rsid w:val="00E37F0D"/>
    <w:rsid w:val="00E41B5D"/>
    <w:rsid w:val="00E41DFA"/>
    <w:rsid w:val="00E7002C"/>
    <w:rsid w:val="00EB5A4F"/>
    <w:rsid w:val="00EC7167"/>
    <w:rsid w:val="00F01255"/>
    <w:rsid w:val="00F02C9D"/>
    <w:rsid w:val="00F20A60"/>
    <w:rsid w:val="00F2529C"/>
    <w:rsid w:val="00F53E9F"/>
    <w:rsid w:val="00F6031F"/>
    <w:rsid w:val="00F86854"/>
    <w:rsid w:val="00F94797"/>
    <w:rsid w:val="00FD45D4"/>
    <w:rsid w:val="018A55EC"/>
    <w:rsid w:val="145E3AB4"/>
    <w:rsid w:val="1A097B42"/>
    <w:rsid w:val="1BA301FB"/>
    <w:rsid w:val="21560F7F"/>
    <w:rsid w:val="296A3401"/>
    <w:rsid w:val="2A4B65AD"/>
    <w:rsid w:val="2ACA23C3"/>
    <w:rsid w:val="2C035304"/>
    <w:rsid w:val="2D4D09A9"/>
    <w:rsid w:val="2E4E782E"/>
    <w:rsid w:val="32D042DE"/>
    <w:rsid w:val="40056CE5"/>
    <w:rsid w:val="407649B1"/>
    <w:rsid w:val="407B7941"/>
    <w:rsid w:val="43EA711A"/>
    <w:rsid w:val="475A3C0B"/>
    <w:rsid w:val="48653004"/>
    <w:rsid w:val="4B5C3CAF"/>
    <w:rsid w:val="50BF333F"/>
    <w:rsid w:val="51D22AE1"/>
    <w:rsid w:val="627B169B"/>
    <w:rsid w:val="63B106BC"/>
    <w:rsid w:val="663336B7"/>
    <w:rsid w:val="67A70C0C"/>
    <w:rsid w:val="74226E05"/>
    <w:rsid w:val="75C37A55"/>
    <w:rsid w:val="79877653"/>
    <w:rsid w:val="7F26257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China</Company>
  <Pages>7</Pages>
  <Words>2948</Words>
  <Characters>3081</Characters>
  <Lines>21</Lines>
  <Paragraphs>6</Paragraphs>
  <TotalTime>15</TotalTime>
  <ScaleCrop>false</ScaleCrop>
  <LinksUpToDate>false</LinksUpToDate>
  <CharactersWithSpaces>3135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2020-01-02T08:58:00Z</dcterms:created>
  <dc:creator>China</dc:creator>
  <cp:lastModifiedBy>徐雪妮</cp:lastModifiedBy>
  <cp:lastPrinted>2022-12-12T06:44:00Z</cp:lastPrinted>
  <dcterms:modified xsi:type="dcterms:W3CDTF">2023-02-27T07:01:24Z</dcterms:modified>
  <dc:title>计划财务处2010年工作计划</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81E72E55BA6D4074A911F2A023CE9A72</vt:lpwstr>
  </property>
</Properties>
</file>